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2BDAE">
      <w:pPr>
        <w:jc w:val="center"/>
      </w:pPr>
      <w:r>
        <w:drawing>
          <wp:inline distT="0" distB="0" distL="114300" distR="114300">
            <wp:extent cx="2519680" cy="697865"/>
            <wp:effectExtent l="0" t="0" r="762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69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EFD6C"/>
    <w:p w14:paraId="5673D696">
      <w:pPr>
        <w:pStyle w:val="31"/>
        <w:jc w:val="center"/>
      </w:pPr>
      <w:r>
        <w:t>Installation Guide</w:t>
      </w:r>
    </w:p>
    <w:p w14:paraId="4109BCC6">
      <w:pPr>
        <w:pStyle w:val="26"/>
        <w:jc w:val="center"/>
      </w:pPr>
      <w:r>
        <w:t>Pro Max / Pro Max Alpine Diesel Air Heater</w:t>
      </w:r>
    </w:p>
    <w:p w14:paraId="4C281801">
      <w:pPr>
        <w:jc w:val="center"/>
      </w:pPr>
      <w:r>
        <w:drawing>
          <wp:inline distT="0" distB="0" distL="114300" distR="114300">
            <wp:extent cx="4859655" cy="2031365"/>
            <wp:effectExtent l="0" t="0" r="444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03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95E38">
      <w:pPr>
        <w:jc w:val="center"/>
      </w:pPr>
      <w:r>
        <w:rPr>
          <w:b/>
          <w:color w:val="1E2A78"/>
          <w:sz w:val="22"/>
        </w:rPr>
        <w:t>Version 1.0</w:t>
      </w:r>
    </w:p>
    <w:p w14:paraId="0C627CBD">
      <w:pPr>
        <w:jc w:val="center"/>
      </w:pPr>
      <w:r>
        <w:rPr>
          <w:color w:val="6B6F78"/>
          <w:sz w:val="16"/>
        </w:rPr>
        <w:t>Installation must be performed by qualified personnel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45A773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shd w:val="clear" w:color="auto" w:fill="F3C700"/>
            <w:tcMar>
              <w:top w:w="25" w:type="dxa"/>
              <w:left w:w="0" w:type="dxa"/>
              <w:bottom w:w="25" w:type="dxa"/>
              <w:right w:w="0" w:type="dxa"/>
            </w:tcMar>
          </w:tcPr>
          <w:p w14:paraId="41ED8339"/>
        </w:tc>
      </w:tr>
    </w:tbl>
    <w:p w14:paraId="040ED536">
      <w:r>
        <w:br w:type="page"/>
      </w:r>
    </w:p>
    <w:p w14:paraId="04BA8465">
      <w:pPr>
        <w:pStyle w:val="3"/>
      </w:pPr>
      <w:r>
        <w:t>Contents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1D6EF49B"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1D693D8">
            <w:pPr>
              <w:jc w:val="center"/>
            </w:pPr>
            <w:r>
              <w:rPr>
                <w:b/>
                <w:color w:val="1E2A78"/>
                <w:sz w:val="20"/>
              </w:rPr>
              <w:t>1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D3616CF">
            <w:r>
              <w:rPr>
                <w:sz w:val="20"/>
              </w:rPr>
              <w:t>Safety and Installation Planning</w:t>
            </w:r>
          </w:p>
        </w:tc>
      </w:tr>
      <w:tr w14:paraId="2971EB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1269A04">
            <w:pPr>
              <w:jc w:val="center"/>
            </w:pPr>
            <w:r>
              <w:rPr>
                <w:b/>
                <w:color w:val="1E2A78"/>
                <w:sz w:val="20"/>
              </w:rPr>
              <w:t>2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62D1D08">
            <w:r>
              <w:rPr>
                <w:sz w:val="20"/>
              </w:rPr>
              <w:t>Components and Specifications</w:t>
            </w:r>
          </w:p>
        </w:tc>
      </w:tr>
      <w:tr w14:paraId="1389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46EF691">
            <w:pPr>
              <w:jc w:val="center"/>
            </w:pPr>
            <w:r>
              <w:rPr>
                <w:b/>
                <w:color w:val="1E2A78"/>
                <w:sz w:val="20"/>
              </w:rPr>
              <w:t>3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060C5690">
            <w:r>
              <w:rPr>
                <w:sz w:val="20"/>
              </w:rPr>
              <w:t>Installation Location and Orientation</w:t>
            </w:r>
          </w:p>
        </w:tc>
      </w:tr>
      <w:tr w14:paraId="6E21D7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86B4F3B">
            <w:pPr>
              <w:jc w:val="center"/>
            </w:pPr>
            <w:r>
              <w:rPr>
                <w:b/>
                <w:color w:val="1E2A78"/>
                <w:sz w:val="20"/>
              </w:rPr>
              <w:t>4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4A7A4A4">
            <w:r>
              <w:rPr>
                <w:sz w:val="20"/>
              </w:rPr>
              <w:t>Mounting and Fastening</w:t>
            </w:r>
          </w:p>
        </w:tc>
      </w:tr>
      <w:tr w14:paraId="136AFA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79A95893">
            <w:pPr>
              <w:jc w:val="center"/>
            </w:pPr>
            <w:r>
              <w:rPr>
                <w:b/>
                <w:color w:val="1E2A78"/>
                <w:sz w:val="20"/>
              </w:rPr>
              <w:t>5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F5144CD">
            <w:r>
              <w:rPr>
                <w:sz w:val="20"/>
              </w:rPr>
              <w:t>Heater-Air System</w:t>
            </w:r>
          </w:p>
        </w:tc>
      </w:tr>
      <w:tr w14:paraId="39C98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3566B5D">
            <w:pPr>
              <w:jc w:val="center"/>
            </w:pPr>
            <w:r>
              <w:rPr>
                <w:b/>
                <w:color w:val="1E2A78"/>
                <w:sz w:val="20"/>
              </w:rPr>
              <w:t>6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140CE1A">
            <w:r>
              <w:rPr>
                <w:sz w:val="20"/>
              </w:rPr>
              <w:t>Exhaust System</w:t>
            </w:r>
          </w:p>
        </w:tc>
      </w:tr>
      <w:tr w14:paraId="3240F5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EF640B1">
            <w:pPr>
              <w:jc w:val="center"/>
            </w:pPr>
            <w:r>
              <w:rPr>
                <w:b/>
                <w:color w:val="1E2A78"/>
                <w:sz w:val="20"/>
              </w:rPr>
              <w:t>7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FF98313">
            <w:r>
              <w:rPr>
                <w:sz w:val="20"/>
              </w:rPr>
              <w:t>Combustion-Air System</w:t>
            </w:r>
          </w:p>
        </w:tc>
      </w:tr>
      <w:tr w14:paraId="6E8F53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40220594">
            <w:pPr>
              <w:jc w:val="center"/>
            </w:pPr>
            <w:r>
              <w:rPr>
                <w:b/>
                <w:color w:val="1E2A78"/>
                <w:sz w:val="20"/>
              </w:rPr>
              <w:t>8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6EDCB5B">
            <w:r>
              <w:rPr>
                <w:sz w:val="20"/>
              </w:rPr>
              <w:t>Fuel System</w:t>
            </w:r>
          </w:p>
        </w:tc>
      </w:tr>
      <w:tr w14:paraId="685AB8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C26DB1C">
            <w:pPr>
              <w:jc w:val="center"/>
            </w:pPr>
            <w:r>
              <w:rPr>
                <w:b/>
                <w:color w:val="1E2A78"/>
                <w:sz w:val="20"/>
              </w:rPr>
              <w:t>9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15950723">
            <w:r>
              <w:rPr>
                <w:sz w:val="20"/>
              </w:rPr>
              <w:t>Electrical Connection</w:t>
            </w:r>
          </w:p>
        </w:tc>
      </w:tr>
      <w:tr w14:paraId="485453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27E16FDA">
            <w:pPr>
              <w:jc w:val="center"/>
            </w:pPr>
            <w:r>
              <w:rPr>
                <w:b/>
                <w:color w:val="1E2A78"/>
                <w:sz w:val="20"/>
              </w:rPr>
              <w:t>10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6655B3D3">
            <w:r>
              <w:rPr>
                <w:sz w:val="20"/>
              </w:rPr>
              <w:t>Commissioning and Final Checks</w:t>
            </w:r>
          </w:p>
        </w:tc>
      </w:tr>
      <w:tr w14:paraId="2818E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63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52BE06D8">
            <w:pPr>
              <w:jc w:val="center"/>
            </w:pPr>
            <w:r>
              <w:rPr>
                <w:b/>
                <w:color w:val="1E2A78"/>
                <w:sz w:val="20"/>
              </w:rPr>
              <w:t>A</w:t>
            </w:r>
          </w:p>
        </w:tc>
        <w:tc>
          <w:tcPr>
            <w:tcW w:w="8391" w:type="dxa"/>
            <w:tcBorders>
              <w:top w:val="nil"/>
              <w:left w:val="nil"/>
              <w:bottom w:val="single" w:color="E1E3E8" w:sz="4" w:space="0"/>
              <w:right w:val="nil"/>
            </w:tcBorders>
            <w:tcMar>
              <w:top w:w="70" w:type="dxa"/>
              <w:left w:w="100" w:type="dxa"/>
              <w:bottom w:w="70" w:type="dxa"/>
              <w:right w:w="100" w:type="dxa"/>
            </w:tcMar>
          </w:tcPr>
          <w:p w14:paraId="38FBFF66">
            <w:r>
              <w:rPr>
                <w:sz w:val="20"/>
              </w:rPr>
              <w:t>Service Reference</w:t>
            </w:r>
          </w:p>
        </w:tc>
      </w:tr>
    </w:tbl>
    <w:p w14:paraId="39E5AE7F">
      <w:r>
        <w:br w:type="page"/>
      </w:r>
    </w:p>
    <w:p w14:paraId="42DB90B5">
      <w:pPr>
        <w:pStyle w:val="3"/>
      </w:pPr>
      <w:r>
        <w:t>1  Safety and Installation Planning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08F085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71DAAE5C">
            <w:r>
              <w:rPr>
                <w:b/>
                <w:color w:val="A52A2A"/>
              </w:rPr>
              <w:t xml:space="preserve">Qualified installation: </w:t>
            </w:r>
            <w:r>
              <w:rPr>
                <w:sz w:val="19"/>
              </w:rPr>
              <w:t>Installation and repair must be carried out by qualified personnel in accordance with this guide, applicable laws and the vehicle manufacturer’s requirements.</w:t>
            </w:r>
          </w:p>
        </w:tc>
      </w:tr>
    </w:tbl>
    <w:p w14:paraId="2DC9ACFB">
      <w:pPr>
        <w:spacing w:after="0"/>
      </w:pPr>
    </w:p>
    <w:p w14:paraId="3295C048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Disconnect the vehicle battery before beginning any work.</w:t>
      </w:r>
    </w:p>
    <w:p w14:paraId="71083B8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Switch the heater off and allow all hot components to cool before working on the heater, exhaust or air system.</w:t>
      </w:r>
    </w:p>
    <w:p w14:paraId="5F69A8C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modify the heater, ECU, safety sensors, wiring harness, fuel system, combustion-air system or exhaust system.</w:t>
      </w:r>
    </w:p>
    <w:p w14:paraId="04E54A2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Route fuel, electrical and brake lines away from hot exhaust components. Install heat shields where adequate clearance cannot otherwise be achieved.</w:t>
      </w:r>
    </w:p>
    <w:p w14:paraId="482D1E1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heater must not create a fire risk, even during an overtemperature condition. Maintain clearance, ventilation and heat protection around the unit.</w:t>
      </w:r>
    </w:p>
    <w:p w14:paraId="2DD4FD12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installed nameplate or a duplicate must remain visible and readable.</w:t>
      </w:r>
    </w:p>
    <w:p w14:paraId="3F98CC35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mount the heater in the passenger compartment of buses/coaches with more than nine seats unless the heater is installed in a compliant hermetically sealed enclosure.</w:t>
      </w:r>
    </w:p>
    <w:p w14:paraId="4CC5934E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Exhaust gas must never be able to enter the vehicle through windows, ventilation openings, warm-air intakes or other openings.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0383D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EDF1FB" w:sz="4" w:space="0"/>
              <w:left w:val="single" w:color="1E2A78" w:sz="18" w:space="0"/>
              <w:bottom w:val="single" w:color="EDF1FB" w:sz="4" w:space="0"/>
              <w:right w:val="single" w:color="EDF1FB" w:sz="4" w:space="0"/>
            </w:tcBorders>
            <w:shd w:val="clear" w:color="auto" w:fill="EDF1FB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3C469315">
            <w:r>
              <w:rPr>
                <w:b/>
                <w:color w:val="1E2A78"/>
              </w:rPr>
              <w:t xml:space="preserve">Bench test: </w:t>
            </w:r>
            <w:r>
              <w:rPr>
                <w:sz w:val="19"/>
              </w:rPr>
              <w:t>Assemble and bench-test the complete system before drilling the vehicle or completing the permanent installation.</w:t>
            </w:r>
          </w:p>
        </w:tc>
      </w:tr>
    </w:tbl>
    <w:p w14:paraId="2432947C">
      <w:pPr>
        <w:spacing w:after="0"/>
      </w:pPr>
    </w:p>
    <w:p w14:paraId="2185935D">
      <w:pPr>
        <w:pStyle w:val="3"/>
      </w:pPr>
      <w:r>
        <w:t>2  Components and Specifications</w:t>
      </w:r>
    </w:p>
    <w:p w14:paraId="499A8040">
      <w:pPr>
        <w:pStyle w:val="4"/>
      </w:pPr>
      <w:r>
        <w:t>2.1 Scope of supply</w:t>
      </w:r>
    </w:p>
    <w:p w14:paraId="48986B7C">
      <w:pPr>
        <w:keepNext/>
        <w:jc w:val="center"/>
      </w:pPr>
      <w:r>
        <w:drawing>
          <wp:inline distT="0" distB="0" distL="114300" distR="114300">
            <wp:extent cx="5219700" cy="7193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719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A2DB">
      <w:pPr>
        <w:pStyle w:val="164"/>
      </w:pPr>
      <w:r>
        <w:t>Typical heater and installation-kit components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2466"/>
        <w:gridCol w:w="2466"/>
        <w:gridCol w:w="2466"/>
      </w:tblGrid>
      <w:tr w14:paraId="18DDCB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5EF2C69C">
            <w:pPr>
              <w:jc w:val="center"/>
            </w:pPr>
            <w:r>
              <w:rPr>
                <w:b/>
                <w:color w:val="FFFFFF"/>
                <w:sz w:val="17"/>
              </w:rPr>
              <w:t>No.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528F054D">
            <w:pPr>
              <w:jc w:val="center"/>
            </w:pPr>
            <w:r>
              <w:rPr>
                <w:b/>
                <w:color w:val="FFFFFF"/>
                <w:sz w:val="17"/>
              </w:rPr>
              <w:t>Component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30C4B936">
            <w:pPr>
              <w:jc w:val="center"/>
            </w:pPr>
            <w:r>
              <w:rPr>
                <w:b/>
                <w:color w:val="FFFFFF"/>
                <w:sz w:val="17"/>
              </w:rPr>
              <w:t>No.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2A5419BD">
            <w:pPr>
              <w:jc w:val="center"/>
            </w:pPr>
            <w:r>
              <w:rPr>
                <w:b/>
                <w:color w:val="FFFFFF"/>
                <w:sz w:val="17"/>
              </w:rPr>
              <w:t>Component</w:t>
            </w:r>
          </w:p>
        </w:tc>
      </w:tr>
      <w:tr w14:paraId="0C9501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69ECAB9">
            <w:r>
              <w:rPr>
                <w:sz w:val="17"/>
              </w:rPr>
              <w:t>1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BAB0C53">
            <w:r>
              <w:rPr>
                <w:sz w:val="17"/>
              </w:rPr>
              <w:t>Heater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9A11E01">
            <w:r>
              <w:rPr>
                <w:sz w:val="17"/>
              </w:rPr>
              <w:t>11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FEED4FC">
            <w:r>
              <w:rPr>
                <w:sz w:val="17"/>
              </w:rPr>
              <w:t>Fuel hose</w:t>
            </w:r>
          </w:p>
        </w:tc>
      </w:tr>
      <w:tr w14:paraId="023CF24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44D9664">
            <w:r>
              <w:rPr>
                <w:sz w:val="17"/>
              </w:rPr>
              <w:t>2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15DCB64">
            <w:r>
              <w:rPr>
                <w:sz w:val="17"/>
              </w:rPr>
              <w:t>Dosing pump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F278CE6">
            <w:r>
              <w:rPr>
                <w:sz w:val="17"/>
              </w:rPr>
              <w:t>12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4901F4B">
            <w:r>
              <w:rPr>
                <w:sz w:val="17"/>
              </w:rPr>
              <w:t>Air-duct clamp</w:t>
            </w:r>
          </w:p>
        </w:tc>
      </w:tr>
      <w:tr w14:paraId="545C5C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26CDC061">
            <w:r>
              <w:rPr>
                <w:sz w:val="17"/>
              </w:rPr>
              <w:t>3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D842E1F">
            <w:r>
              <w:rPr>
                <w:sz w:val="17"/>
              </w:rPr>
              <w:t>Smart Controller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68BD2C9">
            <w:r>
              <w:rPr>
                <w:sz w:val="17"/>
              </w:rPr>
              <w:t>13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7CF5AC0">
            <w:r>
              <w:rPr>
                <w:sz w:val="17"/>
              </w:rPr>
              <w:t>Rotary air outlet</w:t>
            </w:r>
          </w:p>
        </w:tc>
      </w:tr>
      <w:tr w14:paraId="344A58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5365CDB">
            <w:r>
              <w:rPr>
                <w:sz w:val="17"/>
              </w:rPr>
              <w:t>4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6CDDEFA">
            <w:r>
              <w:rPr>
                <w:sz w:val="17"/>
              </w:rPr>
              <w:t>Fuel dip tube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59FED58">
            <w:r>
              <w:rPr>
                <w:sz w:val="17"/>
              </w:rPr>
              <w:t>14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60725BD">
            <w:r>
              <w:rPr>
                <w:sz w:val="17"/>
              </w:rPr>
              <w:t>Safety grid</w:t>
            </w:r>
          </w:p>
        </w:tc>
      </w:tr>
      <w:tr w14:paraId="62C0CB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0F5DD67">
            <w:r>
              <w:rPr>
                <w:sz w:val="17"/>
              </w:rPr>
              <w:t>5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89B5422">
            <w:r>
              <w:rPr>
                <w:sz w:val="17"/>
              </w:rPr>
              <w:t>Fuse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A065342">
            <w:r>
              <w:rPr>
                <w:sz w:val="17"/>
              </w:rPr>
              <w:t>15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CD701F0">
            <w:r>
              <w:rPr>
                <w:sz w:val="17"/>
              </w:rPr>
              <w:t>Rear housing</w:t>
            </w:r>
          </w:p>
        </w:tc>
      </w:tr>
      <w:tr w14:paraId="11696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627154F">
            <w:r>
              <w:rPr>
                <w:sz w:val="17"/>
              </w:rPr>
              <w:t>6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556A6BC">
            <w:r>
              <w:rPr>
                <w:sz w:val="17"/>
              </w:rPr>
              <w:t>Wiring harness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A21B922">
            <w:r>
              <w:rPr>
                <w:sz w:val="17"/>
              </w:rPr>
              <w:t>16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2E1195C">
            <w:r>
              <w:rPr>
                <w:sz w:val="17"/>
              </w:rPr>
              <w:t>Air duct</w:t>
            </w:r>
          </w:p>
        </w:tc>
      </w:tr>
      <w:tr w14:paraId="7CAB6F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BDA9E72">
            <w:r>
              <w:rPr>
                <w:sz w:val="17"/>
              </w:rPr>
              <w:t>7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6C66A0C">
            <w:r>
              <w:rPr>
                <w:sz w:val="17"/>
              </w:rPr>
              <w:t>Flexible exhaust pipe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575C8AE">
            <w:r>
              <w:rPr>
                <w:sz w:val="17"/>
              </w:rPr>
              <w:t>17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F7C8698">
            <w:r>
              <w:rPr>
                <w:sz w:val="17"/>
              </w:rPr>
              <w:t>Connector</w:t>
            </w:r>
          </w:p>
        </w:tc>
      </w:tr>
      <w:tr w14:paraId="651207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2F85C23A">
            <w:r>
              <w:rPr>
                <w:sz w:val="17"/>
              </w:rPr>
              <w:t>8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3EDAAB0">
            <w:r>
              <w:rPr>
                <w:sz w:val="17"/>
              </w:rPr>
              <w:t>Combustion-air intake pipe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251E86B">
            <w:r>
              <w:rPr>
                <w:sz w:val="17"/>
              </w:rPr>
              <w:t>18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7BA2539">
            <w:r>
              <w:rPr>
                <w:sz w:val="17"/>
              </w:rPr>
              <w:t>P-shaped clamp</w:t>
            </w:r>
          </w:p>
        </w:tc>
      </w:tr>
      <w:tr w14:paraId="4E0CD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B219EB9">
            <w:r>
              <w:rPr>
                <w:sz w:val="17"/>
              </w:rPr>
              <w:t>9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63D944D">
            <w:r>
              <w:rPr>
                <w:sz w:val="17"/>
              </w:rPr>
              <w:t>Clamp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F69985D">
            <w:r>
              <w:rPr>
                <w:sz w:val="17"/>
              </w:rPr>
              <w:t>19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10270D4">
            <w:r>
              <w:rPr>
                <w:sz w:val="17"/>
              </w:rPr>
              <w:t>Air-intake silencer</w:t>
            </w:r>
          </w:p>
        </w:tc>
      </w:tr>
      <w:tr w14:paraId="3EAEF9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6FCE8C7">
            <w:r>
              <w:rPr>
                <w:sz w:val="17"/>
              </w:rPr>
              <w:t>10</w:t>
            </w:r>
          </w:p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2DB4034">
            <w:r>
              <w:rPr>
                <w:sz w:val="17"/>
              </w:rPr>
              <w:t>Dosing-pump bracket</w:t>
            </w:r>
          </w:p>
        </w:tc>
        <w:tc>
          <w:tcPr>
            <w:tcW w:w="793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160A938"/>
        </w:tc>
        <w:tc>
          <w:tcPr>
            <w:tcW w:w="379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B36517B"/>
        </w:tc>
      </w:tr>
    </w:tbl>
    <w:p w14:paraId="50B46ACB">
      <w:pPr>
        <w:spacing w:after="0"/>
      </w:pPr>
    </w:p>
    <w:p w14:paraId="4FD5889A">
      <w:pPr>
        <w:pStyle w:val="4"/>
      </w:pPr>
      <w:r>
        <w:t>2.2 Technical data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9"/>
        <w:gridCol w:w="3289"/>
        <w:gridCol w:w="3289"/>
      </w:tblGrid>
      <w:tr w14:paraId="6A095B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43706D10">
            <w:pPr>
              <w:jc w:val="center"/>
            </w:pPr>
            <w:r>
              <w:rPr>
                <w:b/>
                <w:color w:val="FFFFFF"/>
                <w:sz w:val="17"/>
              </w:rPr>
              <w:t>Parameter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062D5684">
            <w:pPr>
              <w:jc w:val="center"/>
            </w:pPr>
            <w:r>
              <w:rPr>
                <w:b/>
                <w:color w:val="FFFFFF"/>
                <w:sz w:val="17"/>
              </w:rPr>
              <w:t>2 kW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56A70396">
            <w:pPr>
              <w:jc w:val="center"/>
            </w:pPr>
            <w:r>
              <w:rPr>
                <w:b/>
                <w:color w:val="FFFFFF"/>
                <w:sz w:val="17"/>
              </w:rPr>
              <w:t>5 kW</w:t>
            </w:r>
          </w:p>
        </w:tc>
      </w:tr>
      <w:tr w14:paraId="5F0D86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2523462">
            <w:r>
              <w:rPr>
                <w:sz w:val="17"/>
              </w:rPr>
              <w:t>Output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C980638">
            <w:r>
              <w:rPr>
                <w:sz w:val="17"/>
              </w:rPr>
              <w:t>2,000 W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DADB19B">
            <w:r>
              <w:rPr>
                <w:sz w:val="17"/>
              </w:rPr>
              <w:t>5,000 W</w:t>
            </w:r>
          </w:p>
        </w:tc>
      </w:tr>
      <w:tr w14:paraId="368C0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7B3226D">
            <w:r>
              <w:rPr>
                <w:sz w:val="17"/>
              </w:rPr>
              <w:t>Fuel consumption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151E8BE">
            <w:r>
              <w:rPr>
                <w:sz w:val="17"/>
              </w:rPr>
              <w:t>0.10-0.28 L/h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29C0B42">
            <w:r>
              <w:rPr>
                <w:sz w:val="17"/>
              </w:rPr>
              <w:t>0.16-0.51 L/h</w:t>
            </w:r>
          </w:p>
        </w:tc>
      </w:tr>
      <w:tr w14:paraId="676E6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BA3B00F">
            <w:r>
              <w:rPr>
                <w:sz w:val="17"/>
              </w:rPr>
              <w:t>Fuel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D7A986B">
            <w:r>
              <w:rPr>
                <w:sz w:val="17"/>
              </w:rPr>
              <w:t>Diesel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E01F4FA">
            <w:r>
              <w:rPr>
                <w:sz w:val="17"/>
              </w:rPr>
              <w:t>Diesel</w:t>
            </w:r>
          </w:p>
        </w:tc>
      </w:tr>
      <w:tr w14:paraId="0B670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2D813A0">
            <w:r>
              <w:rPr>
                <w:sz w:val="17"/>
              </w:rPr>
              <w:t>Approx. weight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F4F51E6">
            <w:r>
              <w:rPr>
                <w:sz w:val="17"/>
              </w:rPr>
              <w:t>2.7 kg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1CDA657">
            <w:r>
              <w:rPr>
                <w:sz w:val="17"/>
              </w:rPr>
              <w:t>4.5 kg</w:t>
            </w:r>
          </w:p>
        </w:tc>
      </w:tr>
      <w:tr w14:paraId="37A6689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25F651F">
            <w:r>
              <w:rPr>
                <w:sz w:val="17"/>
              </w:rPr>
              <w:t>Air flow without counterpressure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ACAA025">
            <w:r>
              <w:rPr>
                <w:sz w:val="17"/>
              </w:rPr>
              <w:t>105 kg/h (source value)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BDBC835">
            <w:r>
              <w:rPr>
                <w:sz w:val="17"/>
              </w:rPr>
              <w:t>185 kg/h (source value)</w:t>
            </w:r>
          </w:p>
        </w:tc>
      </w:tr>
      <w:tr w14:paraId="0BE969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390D4A3">
            <w:r>
              <w:rPr>
                <w:sz w:val="17"/>
              </w:rPr>
              <w:t>Electrical consumption in operation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2071503">
            <w:r>
              <w:rPr>
                <w:sz w:val="17"/>
              </w:rPr>
              <w:t>8-34 W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201889A0">
            <w:r>
              <w:rPr>
                <w:sz w:val="17"/>
              </w:rPr>
              <w:t>7-40 W</w:t>
            </w:r>
          </w:p>
        </w:tc>
      </w:tr>
      <w:tr w14:paraId="46730F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82BA5B1">
            <w:r>
              <w:rPr>
                <w:sz w:val="17"/>
              </w:rPr>
              <w:t>Rated voltage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EA8E476">
            <w:r>
              <w:rPr>
                <w:sz w:val="17"/>
              </w:rPr>
              <w:t>12 V or 24 V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07958AA">
            <w:r>
              <w:rPr>
                <w:sz w:val="17"/>
              </w:rPr>
              <w:t>12 V or 24 V</w:t>
            </w:r>
          </w:p>
        </w:tc>
      </w:tr>
      <w:tr w14:paraId="3F206B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08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53EE00A">
            <w:r>
              <w:rPr>
                <w:sz w:val="17"/>
              </w:rPr>
              <w:t>Dimensions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3D6507D">
            <w:r>
              <w:rPr>
                <w:sz w:val="17"/>
              </w:rPr>
              <w:t>340 × 115 × 122 mm</w:t>
            </w:r>
          </w:p>
        </w:tc>
        <w:tc>
          <w:tcPr>
            <w:tcW w:w="260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C18D2B6">
            <w:r>
              <w:rPr>
                <w:sz w:val="17"/>
              </w:rPr>
              <w:t>380 × 140 × 140 mm</w:t>
            </w:r>
          </w:p>
        </w:tc>
      </w:tr>
    </w:tbl>
    <w:p w14:paraId="30AE2F0B">
      <w:pPr>
        <w:spacing w:after="0"/>
      </w:pPr>
    </w:p>
    <w:p w14:paraId="1E82C8DD">
      <w:pPr>
        <w:keepNext/>
        <w:jc w:val="center"/>
      </w:pPr>
      <w:r>
        <w:drawing>
          <wp:inline distT="0" distB="0" distL="114300" distR="114300">
            <wp:extent cx="5651500" cy="60312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603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C6D4">
      <w:pPr>
        <w:pStyle w:val="164"/>
      </w:pPr>
      <w:r>
        <w:t>Main dimensions and required service clearances</w:t>
      </w:r>
    </w:p>
    <w:p w14:paraId="79083988">
      <w:pPr>
        <w:pStyle w:val="3"/>
      </w:pPr>
      <w:r>
        <w:t>3  Installation Location and Orientation</w:t>
      </w:r>
    </w:p>
    <w:p w14:paraId="2739307E">
      <w:pPr>
        <w:pStyle w:val="4"/>
      </w:pPr>
      <w:r>
        <w:t>3.1 Location requirements</w:t>
      </w:r>
    </w:p>
    <w:p w14:paraId="59C821D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Provide sufficient clearance for the heater-air intake and for removal of the glow plug and controller.</w:t>
      </w:r>
    </w:p>
    <w:p w14:paraId="4A26FAC3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When the heater is installed in a compartment used by people, exhaust, combustion-air and fuel pipes in that area must have no detachable connections and must pass through the floor or wall in a splash-resistant manner.</w:t>
      </w:r>
    </w:p>
    <w:p w14:paraId="441B8A7C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support surface must be flat, smooth and strong enough for the heater and vibration loads.</w:t>
      </w:r>
    </w:p>
    <w:p w14:paraId="09155E2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heater-air intake must draw clean fresh or recirculated air that is not contaminated by engine exhaust, heater exhaust, dust or salt spray.</w:t>
      </w:r>
    </w:p>
    <w:p w14:paraId="54138A36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hot-air outlet must be protected from blockage and arranged so it cannot cause injury or heat damage.</w:t>
      </w:r>
    </w:p>
    <w:p w14:paraId="1C78123C">
      <w:pPr>
        <w:pStyle w:val="4"/>
      </w:pPr>
      <w:r>
        <w:t>3.2 Typical locations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512A0A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0" w:type="dxa"/>
              <w:bottom w:w="50" w:type="dxa"/>
              <w:right w:w="50" w:type="dxa"/>
            </w:tcMar>
          </w:tcPr>
          <w:p w14:paraId="566057E5">
            <w:pPr>
              <w:jc w:val="center"/>
            </w:pPr>
            <w:r>
              <w:drawing>
                <wp:inline distT="0" distB="0" distL="114300" distR="114300">
                  <wp:extent cx="2663825" cy="285305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85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7465FC">
            <w:pPr>
              <w:jc w:val="center"/>
            </w:pPr>
            <w:r>
              <w:rPr>
                <w:i/>
                <w:color w:val="60646F"/>
                <w:sz w:val="16"/>
              </w:rPr>
              <w:t>Camper-van installation locations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0" w:type="dxa"/>
              <w:bottom w:w="50" w:type="dxa"/>
              <w:right w:w="50" w:type="dxa"/>
            </w:tcMar>
          </w:tcPr>
          <w:p w14:paraId="0AA0A478">
            <w:pPr>
              <w:jc w:val="center"/>
            </w:pPr>
            <w:r>
              <w:drawing>
                <wp:inline distT="0" distB="0" distL="114300" distR="114300">
                  <wp:extent cx="2663825" cy="249491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49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E64B5">
            <w:pPr>
              <w:jc w:val="center"/>
            </w:pPr>
            <w:r>
              <w:rPr>
                <w:i/>
                <w:color w:val="60646F"/>
                <w:sz w:val="16"/>
              </w:rPr>
              <w:t>Car or people-carrier locations</w:t>
            </w:r>
          </w:p>
        </w:tc>
      </w:tr>
    </w:tbl>
    <w:p w14:paraId="3D904FEC">
      <w:pPr>
        <w:spacing w:after="0"/>
      </w:pP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51016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0" w:type="dxa"/>
              <w:bottom w:w="50" w:type="dxa"/>
              <w:right w:w="50" w:type="dxa"/>
            </w:tcMar>
          </w:tcPr>
          <w:p w14:paraId="1AEDF09A">
            <w:pPr>
              <w:jc w:val="center"/>
            </w:pPr>
            <w:r>
              <w:drawing>
                <wp:inline distT="0" distB="0" distL="114300" distR="114300">
                  <wp:extent cx="2663825" cy="300101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300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01BF4C">
            <w:pPr>
              <w:jc w:val="center"/>
            </w:pPr>
            <w:r>
              <w:rPr>
                <w:i/>
                <w:color w:val="60646F"/>
                <w:sz w:val="16"/>
              </w:rPr>
              <w:t>Truck-cab locations</w:t>
            </w:r>
          </w:p>
        </w:tc>
        <w:tc>
          <w:tcPr>
            <w:tcW w:w="459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50" w:type="dxa"/>
              <w:bottom w:w="50" w:type="dxa"/>
              <w:right w:w="50" w:type="dxa"/>
            </w:tcMar>
          </w:tcPr>
          <w:p w14:paraId="3BD5402D">
            <w:pPr>
              <w:jc w:val="center"/>
            </w:pPr>
            <w:r>
              <w:drawing>
                <wp:inline distT="0" distB="0" distL="114300" distR="114300">
                  <wp:extent cx="2663825" cy="25622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000" cy="256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274FA">
            <w:pPr>
              <w:jc w:val="center"/>
            </w:pPr>
            <w:r>
              <w:rPr>
                <w:i/>
                <w:color w:val="60646F"/>
                <w:sz w:val="16"/>
              </w:rPr>
              <w:t>Excavator-cab locations</w:t>
            </w:r>
          </w:p>
        </w:tc>
      </w:tr>
    </w:tbl>
    <w:p w14:paraId="37DBC99D">
      <w:pPr>
        <w:spacing w:after="0"/>
      </w:pPr>
    </w:p>
    <w:p w14:paraId="2089F8BC">
      <w:r>
        <w:t>The illustrated locations are examples. Other locations are acceptable only when all safety, orientation, clearance, temperature and routing requirements are met.</w:t>
      </w:r>
    </w:p>
    <w:p w14:paraId="016B18D6">
      <w:pPr>
        <w:pStyle w:val="4"/>
      </w:pPr>
      <w:r>
        <w:t>3.3 Permitted orientation</w:t>
      </w:r>
    </w:p>
    <w:p w14:paraId="4B5A99DB">
      <w:pPr>
        <w:keepNext/>
        <w:jc w:val="center"/>
      </w:pPr>
      <w:r>
        <w:drawing>
          <wp:inline distT="0" distB="0" distL="114300" distR="114300">
            <wp:extent cx="5687695" cy="2922905"/>
            <wp:effectExtent l="0" t="0" r="1905" b="1079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292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A094">
      <w:pPr>
        <w:pStyle w:val="164"/>
      </w:pPr>
      <w:r>
        <w:t>Permitted heater orientation and swivel range</w:t>
      </w:r>
    </w:p>
    <w:p w14:paraId="6171F717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Preferred position: horizontal, with the exhaust connection facing downward.</w:t>
      </w:r>
    </w:p>
    <w:p w14:paraId="33963D28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heater may be tilted by up to 30° with the airflow direction downward.</w:t>
      </w:r>
    </w:p>
    <w:p w14:paraId="4CCF043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It may be rotated by up to 90° around its longitudinal axis, with the exhaust connection horizontal and the glow plug pointing upward.</w:t>
      </w:r>
    </w:p>
    <w:p w14:paraId="3F191617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During operation, vehicle or boat inclination may deviate by approximately 15° from the installed limit without impairing function.</w:t>
      </w:r>
    </w:p>
    <w:p w14:paraId="1E5E80BB">
      <w:pPr>
        <w:pStyle w:val="4"/>
      </w:pPr>
      <w:r>
        <w:t>3.4 Wiring-harness side</w:t>
      </w:r>
    </w:p>
    <w:p w14:paraId="4B0E08CB">
      <w:r>
        <w:t>If required, the heater cable-harness exit can be moved to the opposite side. Remove the controller and lower semi-circular cable cover, reroute the harness, then reinstall the controller, housing shell, harness bush and sealing plugs correctly.</w:t>
      </w:r>
    </w:p>
    <w:p w14:paraId="4532B333">
      <w:pPr>
        <w:keepNext/>
        <w:jc w:val="center"/>
      </w:pPr>
      <w:r>
        <w:drawing>
          <wp:inline distT="0" distB="0" distL="114300" distR="114300">
            <wp:extent cx="3239770" cy="2354580"/>
            <wp:effectExtent l="0" t="0" r="1143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35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71A7C">
      <w:pPr>
        <w:pStyle w:val="164"/>
      </w:pPr>
      <w:r>
        <w:t>Cable-harness connection can be routed to the left or right</w:t>
      </w:r>
    </w:p>
    <w:p w14:paraId="5CC868A9">
      <w:r>
        <w:br w:type="page"/>
      </w:r>
    </w:p>
    <w:p w14:paraId="6EE4AA0F">
      <w:pPr>
        <w:pStyle w:val="3"/>
      </w:pPr>
      <w:r>
        <w:t>4  Mounting and Fastening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1C158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363D317E">
            <w:pPr>
              <w:jc w:val="center"/>
            </w:pP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34820481">
            <w:r>
              <w:rPr>
                <w:sz w:val="20"/>
              </w:rPr>
              <w:t>Mark and cut the openings for exhaust, combustion air and fuel according to the mounting pattern.</w:t>
            </w:r>
          </w:p>
        </w:tc>
      </w:tr>
    </w:tbl>
    <w:p w14:paraId="0F7A807A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009E54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79569EB6">
            <w:pPr>
              <w:jc w:val="center"/>
            </w:pP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2B918A12">
            <w:r>
              <w:rPr>
                <w:sz w:val="20"/>
              </w:rPr>
              <w:t>Prepare a flat, smooth bearing surface for the heater foot.</w:t>
            </w:r>
          </w:p>
        </w:tc>
      </w:tr>
    </w:tbl>
    <w:p w14:paraId="3FF400B0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5ABF9B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B9D6EF5">
            <w:pPr>
              <w:jc w:val="center"/>
            </w:pP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2151F29">
            <w:r>
              <w:rPr>
                <w:sz w:val="20"/>
              </w:rPr>
              <w:t>Drill the separate Ø10.5 mm opening for the dosing-pump harness after locating the installation.</w:t>
            </w:r>
          </w:p>
        </w:tc>
      </w:tr>
    </w:tbl>
    <w:p w14:paraId="08B26E90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24EBC1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BB261EF">
            <w:pPr>
              <w:jc w:val="center"/>
            </w:pPr>
            <w:r>
              <w:rPr>
                <w:b/>
                <w:color w:val="FFFFFF"/>
                <w:sz w:val="20"/>
              </w:rPr>
              <w:t>4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B4571E9">
            <w:r>
              <w:rPr>
                <w:sz w:val="20"/>
              </w:rPr>
              <w:t>If the supporting sheet metal is thinner than 1.5 mm, install a reinforcement plate.</w:t>
            </w:r>
          </w:p>
        </w:tc>
      </w:tr>
    </w:tbl>
    <w:p w14:paraId="19B4EDDA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2A385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72C5BEE2">
            <w:pPr>
              <w:jc w:val="center"/>
            </w:pPr>
            <w:r>
              <w:rPr>
                <w:b/>
                <w:color w:val="FFFFFF"/>
                <w:sz w:val="20"/>
              </w:rPr>
              <w:t>5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35DB7D60">
            <w:r>
              <w:rPr>
                <w:sz w:val="20"/>
              </w:rPr>
              <w:t>Fit the flange seal between the heater foot and the vehicle floor or wall.</w:t>
            </w:r>
          </w:p>
        </w:tc>
      </w:tr>
    </w:tbl>
    <w:p w14:paraId="55D36919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3FA24A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B3A51BA">
            <w:pPr>
              <w:jc w:val="center"/>
            </w:pPr>
            <w:r>
              <w:rPr>
                <w:b/>
                <w:color w:val="FFFFFF"/>
                <w:sz w:val="20"/>
              </w:rPr>
              <w:t>6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55356CF">
            <w:r>
              <w:rPr>
                <w:sz w:val="20"/>
              </w:rPr>
              <w:t>Confirm that the fan wheel rotates freely and that the heater has the required service and intake clearance.</w:t>
            </w:r>
          </w:p>
        </w:tc>
      </w:tr>
    </w:tbl>
    <w:p w14:paraId="3CD71323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66EE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3AE079D4">
            <w:pPr>
              <w:jc w:val="center"/>
            </w:pPr>
            <w:r>
              <w:rPr>
                <w:b/>
                <w:color w:val="FFFFFF"/>
                <w:sz w:val="20"/>
              </w:rPr>
              <w:t>7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7A48A05">
            <w:r>
              <w:rPr>
                <w:sz w:val="20"/>
              </w:rPr>
              <w:t>Secure the heater using M6 fasteners. Tighten the M6 hexagon nuts to 5 +1 N·m.</w:t>
            </w:r>
          </w:p>
        </w:tc>
      </w:tr>
    </w:tbl>
    <w:p w14:paraId="34CDFD91">
      <w:pPr>
        <w:spacing w:after="0"/>
      </w:pPr>
    </w:p>
    <w:p w14:paraId="15DA5D74">
      <w:pPr>
        <w:keepNext/>
        <w:jc w:val="center"/>
      </w:pPr>
      <w:r>
        <w:drawing>
          <wp:inline distT="0" distB="0" distL="114300" distR="114300">
            <wp:extent cx="5651500" cy="54089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52000" cy="540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5732E">
      <w:pPr>
        <w:pStyle w:val="164"/>
      </w:pPr>
      <w:r>
        <w:t>Hole pattern, support preparation and mounting arrangements</w:t>
      </w:r>
    </w:p>
    <w:p w14:paraId="1FC23D4E">
      <w:pPr>
        <w:pStyle w:val="3"/>
      </w:pPr>
      <w:r>
        <w:t>5  Heater-Air System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4475A4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1E6E68D2">
            <w:r>
              <w:rPr>
                <w:b/>
                <w:color w:val="A52A2A"/>
              </w:rPr>
              <w:t xml:space="preserve">Burn hazard: </w:t>
            </w:r>
            <w:r>
              <w:rPr>
                <w:sz w:val="19"/>
              </w:rPr>
              <w:t>The hot-air system can reach very high temperatures during and after operation. Route and guard ducts and outlets so that people, animals and temperature-sensitive materials cannot be burned or damaged.</w:t>
            </w:r>
          </w:p>
        </w:tc>
      </w:tr>
    </w:tbl>
    <w:p w14:paraId="1D2CC3CF">
      <w:pPr>
        <w:spacing w:after="0"/>
      </w:pPr>
    </w:p>
    <w:p w14:paraId="125753EA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Fit the outlet hood on the heater hot-air side.</w:t>
      </w:r>
    </w:p>
    <w:p w14:paraId="351F697C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If no duct is installed, fit a safety grid to the heater-air intake and outlet.</w:t>
      </w:r>
    </w:p>
    <w:p w14:paraId="0573CFAD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Use only temperature-resistant hot-air ducting approved for the heater.</w:t>
      </w:r>
    </w:p>
    <w:p w14:paraId="5408F06D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position a recirculated-air intake where it can immediately draw the heater’s own hot outlet air back into the unit.</w:t>
      </w:r>
    </w:p>
    <w:p w14:paraId="0830D63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Protect the intake from engine/heater exhaust, dust and salt spray.</w:t>
      </w:r>
    </w:p>
    <w:p w14:paraId="683A05B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Where occupants could touch the heater, install contact protection.</w:t>
      </w:r>
    </w:p>
    <w:p w14:paraId="182A2DE2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During commissioning, after approximately 10 minutes of operation, the average outlet temperature measured about 30 cm from the outlet should not exceed 110 °C when intake air is approximately 20 °C.</w:t>
      </w:r>
    </w:p>
    <w:p w14:paraId="69B47418">
      <w:pPr>
        <w:keepNext/>
        <w:jc w:val="center"/>
      </w:pPr>
      <w:r>
        <w:drawing>
          <wp:inline distT="0" distB="0" distL="114300" distR="114300">
            <wp:extent cx="5687695" cy="17665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176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B6CEF">
      <w:pPr>
        <w:pStyle w:val="164"/>
      </w:pPr>
      <w:r>
        <w:t>Typical heater-air duct arrangement</w:t>
      </w:r>
    </w:p>
    <w:p w14:paraId="57E73151">
      <w:pPr>
        <w:pStyle w:val="3"/>
      </w:pPr>
      <w:r>
        <w:t>6  Exhaust System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4DE0B7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636EA240">
            <w:r>
              <w:rPr>
                <w:b/>
                <w:color w:val="A52A2A"/>
              </w:rPr>
              <w:t xml:space="preserve">Toxic exhaust and high temperature: </w:t>
            </w:r>
            <w:r>
              <w:rPr>
                <w:sz w:val="19"/>
              </w:rPr>
              <w:t>The exhaust outlet must terminate in open air. Never route exhaust where fumes can enter the vehicle or be drawn into the combustion-air or heater-air intake.</w:t>
            </w:r>
          </w:p>
        </w:tc>
      </w:tr>
    </w:tbl>
    <w:p w14:paraId="38203141">
      <w:pPr>
        <w:spacing w:after="0"/>
      </w:pPr>
    </w:p>
    <w:p w14:paraId="7D353CAA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installation kit includes a flexible exhaust pipe with an inner diameter of 24 mm and an exhaust silencer.</w:t>
      </w:r>
    </w:p>
    <w:p w14:paraId="6B5D926B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flexible exhaust pipe may be shortened to a minimum of 0.2 m or extended to a maximum of 2 m, depending on installation conditions.</w:t>
      </w:r>
    </w:p>
    <w:p w14:paraId="1AC9BC01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Route the pipe slightly downward. If required, drill an approximately Ø5 mm drain hole at the lowest point for condensation.</w:t>
      </w:r>
    </w:p>
    <w:p w14:paraId="00DF3AEE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allow the exhaust outlet to protrude beyond the side of the vehicle or point in the direction of travel.</w:t>
      </w:r>
    </w:p>
    <w:p w14:paraId="76995706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Protect the exhaust outlet from dirt, snow and water.</w:t>
      </w:r>
    </w:p>
    <w:p w14:paraId="0CDE26BB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Maintain clearance from fuel lines, electrical cables, brake hoses and other heat-sensitive components.</w:t>
      </w:r>
    </w:p>
    <w:p w14:paraId="7EB4E093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Secure the exhaust pipe against vibration at approximately 0.5 m intervals and fasten the silencer to the vehicle.</w:t>
      </w:r>
    </w:p>
    <w:p w14:paraId="3073C5B6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If a silencer is installed, keep the outlet tailpipe substantially shorter than the flexible pipe between the heater and silencer.</w:t>
      </w:r>
    </w:p>
    <w:p w14:paraId="61392A76">
      <w:pPr>
        <w:pStyle w:val="3"/>
      </w:pPr>
      <w:r>
        <w:t>7  Combustion-Air System</w:t>
      </w:r>
    </w:p>
    <w:p w14:paraId="6B769EE7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Use combustion-air hose with an inner diameter of 25 mm.</w:t>
      </w:r>
    </w:p>
    <w:p w14:paraId="090BBA9F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combustion-air opening must remain free at all times and must not face directly into the slipstream.</w:t>
      </w:r>
    </w:p>
    <w:p w14:paraId="725FAEE5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Position the intake so that exhaust fumes cannot be drawn into the heater.</w:t>
      </w:r>
    </w:p>
    <w:p w14:paraId="6ADC14AD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Protect the intake from wind, snow, dirt and water.</w:t>
      </w:r>
    </w:p>
    <w:p w14:paraId="2B81CA24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Route the hose slightly downward; if necessary, provide an approximately Ø5 mm condensation drain at the lowest point.</w:t>
      </w:r>
    </w:p>
    <w:p w14:paraId="2D928707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Secure the hose to the heater with a clamp and support it with hose clamps or cable ties.</w:t>
      </w:r>
    </w:p>
    <w:p w14:paraId="114FF149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routing shown in the source guide allows a typical length range of approximately 0.2-2 m.</w:t>
      </w:r>
    </w:p>
    <w:p w14:paraId="6D48E14C">
      <w:pPr>
        <w:keepNext/>
        <w:jc w:val="center"/>
      </w:pPr>
      <w:r>
        <w:drawing>
          <wp:inline distT="0" distB="0" distL="114300" distR="114300">
            <wp:extent cx="5687695" cy="3655695"/>
            <wp:effectExtent l="0" t="0" r="190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65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A7A18">
      <w:pPr>
        <w:pStyle w:val="164"/>
      </w:pPr>
      <w:r>
        <w:t>Combustion-air and exhaust routing, connection diameters and maximum lengths</w:t>
      </w:r>
    </w:p>
    <w:p w14:paraId="35499FFA">
      <w:pPr>
        <w:pStyle w:val="3"/>
      </w:pPr>
      <w:r>
        <w:t>8  Fuel System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2473511D"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7286FA4C">
            <w:r>
              <w:rPr>
                <w:b/>
                <w:color w:val="A52A2A"/>
              </w:rPr>
              <w:t xml:space="preserve">Fuel safety: </w:t>
            </w:r>
            <w:r>
              <w:rPr>
                <w:sz w:val="19"/>
              </w:rPr>
              <w:t>Switch off the vehicle engine and heater before refuelling or working on the fuel system. No smoking, flames or sparks. Avoid inhaling fuel vapour and avoid skin contact.</w:t>
            </w:r>
          </w:p>
        </w:tc>
      </w:tr>
    </w:tbl>
    <w:p w14:paraId="285CC173">
      <w:pPr>
        <w:spacing w:after="0"/>
      </w:pPr>
    </w:p>
    <w:p w14:paraId="5B26C5B7">
      <w:pPr>
        <w:pStyle w:val="4"/>
      </w:pPr>
      <w:r>
        <w:t>8.1 Fuel-line routing</w:t>
      </w:r>
    </w:p>
    <w:p w14:paraId="3F424564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Cut fuel hose and pipe squarely with a sharp tool. Connections must not be crushed and must be free of burrs.</w:t>
      </w:r>
    </w:p>
    <w:p w14:paraId="6ED402C2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Route the fuel pipe from the dosing pump to the heater with a continuous upward rise.</w:t>
      </w:r>
    </w:p>
    <w:p w14:paraId="7C8D83FA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Support fuel lines at approximately 0.5 m intervals to prevent vibration damage and noise.</w:t>
      </w:r>
    </w:p>
    <w:p w14:paraId="306F0D44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Protect the fuel line from mechanical damage, vehicle movement and heat.</w:t>
      </w:r>
    </w:p>
    <w:p w14:paraId="5B0C3A4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Never attach the fuel line to the heater exhaust. Where systems cross, maintain adequate heat clearance or install a heat shield.</w:t>
      </w:r>
    </w:p>
    <w:p w14:paraId="4BEE3678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Connect rigid fuel pipes in a butt joint inside the hose to prevent air-bubble formation.</w:t>
      </w:r>
    </w:p>
    <w:p w14:paraId="01A7199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Install the supplied fuel filter to reduce the risk of dosing-pump blockage.</w:t>
      </w:r>
    </w:p>
    <w:p w14:paraId="42962259">
      <w:pPr>
        <w:keepNext/>
        <w:jc w:val="center"/>
      </w:pPr>
      <w:r>
        <w:drawing>
          <wp:inline distT="0" distB="0" distL="114300" distR="114300">
            <wp:extent cx="5687695" cy="34842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8000" cy="348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B4C3B">
      <w:pPr>
        <w:pStyle w:val="164"/>
      </w:pPr>
      <w:r>
        <w:t>Typical fuel-line arrangement and source-manual length limits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9"/>
        <w:gridCol w:w="3289"/>
        <w:gridCol w:w="3289"/>
      </w:tblGrid>
      <w:tr w14:paraId="0716F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283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40BE7FBB">
            <w:pPr>
              <w:jc w:val="center"/>
            </w:pPr>
            <w:r>
              <w:rPr>
                <w:b/>
                <w:color w:val="FFFFFF"/>
                <w:sz w:val="17"/>
              </w:rPr>
              <w:t>Fuel-pipe internal diameter</w:t>
            </w:r>
          </w:p>
        </w:tc>
        <w:tc>
          <w:tcPr>
            <w:tcW w:w="311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01A9F004">
            <w:pPr>
              <w:jc w:val="center"/>
            </w:pPr>
            <w:r>
              <w:rPr>
                <w:b/>
                <w:color w:val="FFFFFF"/>
                <w:sz w:val="17"/>
              </w:rPr>
              <w:t>Maximum intake-side length a</w:t>
            </w:r>
          </w:p>
        </w:tc>
        <w:tc>
          <w:tcPr>
            <w:tcW w:w="334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256B28D7">
            <w:pPr>
              <w:jc w:val="center"/>
            </w:pPr>
            <w:r>
              <w:rPr>
                <w:b/>
                <w:color w:val="FFFFFF"/>
                <w:sz w:val="17"/>
              </w:rPr>
              <w:t>Maximum pressure-side length b (diesel)</w:t>
            </w:r>
          </w:p>
        </w:tc>
      </w:tr>
      <w:tr w14:paraId="631AF3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83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CB500A4">
            <w:r>
              <w:rPr>
                <w:sz w:val="17"/>
              </w:rPr>
              <w:t>Ø2 mm</w:t>
            </w:r>
          </w:p>
        </w:tc>
        <w:tc>
          <w:tcPr>
            <w:tcW w:w="311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0E7997A">
            <w:r>
              <w:rPr>
                <w:sz w:val="17"/>
              </w:rPr>
              <w:t>5 m</w:t>
            </w:r>
          </w:p>
        </w:tc>
        <w:tc>
          <w:tcPr>
            <w:tcW w:w="334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F34988F">
            <w:r>
              <w:rPr>
                <w:sz w:val="17"/>
              </w:rPr>
              <w:t>6 m</w:t>
            </w:r>
          </w:p>
        </w:tc>
      </w:tr>
      <w:tr w14:paraId="03CBAE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283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970655F">
            <w:r>
              <w:rPr>
                <w:sz w:val="17"/>
              </w:rPr>
              <w:t>Ø5 mm</w:t>
            </w:r>
          </w:p>
        </w:tc>
        <w:tc>
          <w:tcPr>
            <w:tcW w:w="3118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253B7457">
            <w:r>
              <w:rPr>
                <w:sz w:val="17"/>
              </w:rPr>
              <w:t>2 m</w:t>
            </w:r>
          </w:p>
        </w:tc>
        <w:tc>
          <w:tcPr>
            <w:tcW w:w="3345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E61337A">
            <w:r>
              <w:rPr>
                <w:sz w:val="17"/>
              </w:rPr>
              <w:t>10 m</w:t>
            </w:r>
          </w:p>
        </w:tc>
      </w:tr>
    </w:tbl>
    <w:p w14:paraId="38187FE4">
      <w:pPr>
        <w:spacing w:after="0"/>
      </w:pPr>
    </w:p>
    <w:p w14:paraId="320CB435">
      <w:pPr>
        <w:pStyle w:val="4"/>
      </w:pPr>
      <w:r>
        <w:t>8.2 Dosing-pump height and angle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483B3E0A">
        <w:trPr>
          <w:cantSplit/>
          <w:tblHeader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0B78CF33">
            <w:pPr>
              <w:jc w:val="center"/>
            </w:pPr>
            <w:r>
              <w:rPr>
                <w:b/>
                <w:color w:val="FFFFFF"/>
                <w:sz w:val="17"/>
              </w:rPr>
              <w:t>Parameter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48067B74">
            <w:pPr>
              <w:jc w:val="center"/>
            </w:pPr>
            <w:r>
              <w:rPr>
                <w:b/>
                <w:color w:val="FFFFFF"/>
                <w:sz w:val="17"/>
              </w:rPr>
              <w:t>Maximum / permitted value</w:t>
            </w:r>
          </w:p>
        </w:tc>
      </w:tr>
      <w:tr w14:paraId="3015B2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DA354F3">
            <w:r>
              <w:rPr>
                <w:sz w:val="17"/>
              </w:rPr>
              <w:t>Tank-to-pump pressure height (a)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0379B4D">
            <w:r>
              <w:rPr>
                <w:sz w:val="17"/>
              </w:rPr>
              <w:t>3,000 mm</w:t>
            </w:r>
          </w:p>
        </w:tc>
      </w:tr>
      <w:tr w14:paraId="53F6CD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8489A24">
            <w:r>
              <w:rPr>
                <w:sz w:val="17"/>
              </w:rPr>
              <w:t>Intake height in a pressureless diesel tank (b)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7984899">
            <w:r>
              <w:rPr>
                <w:sz w:val="17"/>
              </w:rPr>
              <w:t>1,000 mm</w:t>
            </w:r>
          </w:p>
        </w:tc>
      </w:tr>
      <w:tr w14:paraId="1FCE9A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64F8E5C">
            <w:r>
              <w:rPr>
                <w:sz w:val="17"/>
              </w:rPr>
              <w:t>Intake height with tank-cap vacuum valve (b)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958795D">
            <w:r>
              <w:rPr>
                <w:sz w:val="17"/>
              </w:rPr>
              <w:t>400 mm</w:t>
            </w:r>
          </w:p>
        </w:tc>
      </w:tr>
      <w:tr w14:paraId="3EB4AB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909E4CF">
            <w:r>
              <w:rPr>
                <w:sz w:val="17"/>
              </w:rPr>
              <w:t>Pump-to-heater pressure height (c)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E7DF98C">
            <w:r>
              <w:rPr>
                <w:sz w:val="17"/>
              </w:rPr>
              <w:t>2,000 mm</w:t>
            </w:r>
          </w:p>
        </w:tc>
      </w:tr>
      <w:tr w14:paraId="48500E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4536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01D3E91">
            <w:r>
              <w:rPr>
                <w:sz w:val="17"/>
              </w:rPr>
              <w:t>Pump mounting angle</w:t>
            </w:r>
          </w:p>
        </w:tc>
        <w:tc>
          <w:tcPr>
            <w:tcW w:w="476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8647AF6">
            <w:r>
              <w:rPr>
                <w:sz w:val="17"/>
              </w:rPr>
              <w:t>More than 15°; preferred 15°-35°; permitted up to 90°</w:t>
            </w:r>
          </w:p>
        </w:tc>
      </w:tr>
    </w:tbl>
    <w:p w14:paraId="75E08887">
      <w:pPr>
        <w:spacing w:after="0"/>
      </w:pPr>
    </w:p>
    <w:p w14:paraId="5B7760A0">
      <w:pPr>
        <w:keepNext/>
        <w:jc w:val="center"/>
      </w:pPr>
      <w:r>
        <w:drawing>
          <wp:inline distT="0" distB="0" distL="114300" distR="114300">
            <wp:extent cx="3311525" cy="68649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11999" cy="6865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09DA8">
      <w:pPr>
        <w:pStyle w:val="164"/>
      </w:pPr>
      <w:r>
        <w:t>Dosing-pump height limits and permitted mounting angles</w:t>
      </w:r>
    </w:p>
    <w:p w14:paraId="6C101588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Mount the pump with the pressure side rising upward by at least 15°.</w:t>
      </w:r>
    </w:p>
    <w:p w14:paraId="6BD1DE30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mount the dosing pump or fuel filter near the exhaust pipe or silencer.</w:t>
      </w:r>
    </w:p>
    <w:p w14:paraId="4B2B1164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Do not gravity-feed or pressurise the heater fuel supply. Do not take heater fuel downstream of the vehicle fuel pump.</w:t>
      </w:r>
    </w:p>
    <w:p w14:paraId="15B1A10E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Where vehicle fuel-line pressure exceeds 0.2 bar, use an approved pressure reducer or a separate tank connection. Where pressure exceeds 4.0 bar or the return line includes a non-return valve, use a separate tank connection.</w:t>
      </w:r>
    </w:p>
    <w:p w14:paraId="1F49E333">
      <w:r>
        <w:br w:type="page"/>
      </w:r>
    </w:p>
    <w:p w14:paraId="397A2124">
      <w:pPr>
        <w:pStyle w:val="3"/>
      </w:pPr>
      <w:r>
        <w:t>9  Electrical Connection</w:t>
      </w: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0AF32A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0A91CA9B">
            <w:r>
              <w:rPr>
                <w:b/>
                <w:color w:val="A52A2A"/>
              </w:rPr>
              <w:t xml:space="preserve">Electrical safety: </w:t>
            </w:r>
            <w:r>
              <w:rPr>
                <w:sz w:val="19"/>
              </w:rPr>
              <w:t>Disconnect the battery before wiring. Use the correct system voltage and fuse ratings. Do not alter wire sizes, connectors or safety-related circuits.</w:t>
            </w:r>
          </w:p>
        </w:tc>
      </w:tr>
    </w:tbl>
    <w:p w14:paraId="70767A34">
      <w:pPr>
        <w:spacing w:after="0"/>
      </w:pPr>
    </w:p>
    <w:p w14:paraId="68D8C153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Connect the heater to the vehicle positive and negative supply as shown in the wiring diagram.</w:t>
      </w:r>
    </w:p>
    <w:p w14:paraId="65DD9F72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The source diagram shows a 15 A main fuse and a 5 A auxiliary/controller circuit fuse. Use only the ratings specified for the supplied harness.</w:t>
      </w:r>
    </w:p>
    <w:p w14:paraId="3E32216A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Connect the controller, dosing pump, fan motor, glow plug and temperature sensor only through the correct keyed connectors.</w:t>
      </w:r>
    </w:p>
    <w:p w14:paraId="6B960F8C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Protect wiring from abrasion, moisture, heat and moving parts.</w:t>
      </w:r>
    </w:p>
    <w:p w14:paraId="7DC0C4FA">
      <w:pPr>
        <w:pStyle w:val="16"/>
        <w:spacing w:after="40"/>
        <w:ind w:left="340" w:hanging="170"/>
      </w:pPr>
      <w:r>
        <w:rPr>
          <w:rFonts w:ascii="Arial" w:hAnsi="Arial"/>
          <w:sz w:val="20"/>
        </w:rPr>
        <w:t>Before electric welding on the vehicle, disconnect the battery positive cable and protect the heater controller/ECU from welding current.</w:t>
      </w:r>
    </w:p>
    <w:p w14:paraId="5EEDD5DB">
      <w:pPr>
        <w:keepNext/>
        <w:jc w:val="center"/>
      </w:pPr>
      <w:r>
        <w:drawing>
          <wp:inline distT="0" distB="0" distL="114300" distR="114300">
            <wp:extent cx="5759450" cy="45637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56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03A4">
      <w:pPr>
        <w:pStyle w:val="164"/>
      </w:pPr>
      <w:r>
        <w:t>Electrical diagram for Pro Max / Pro Max Alpine heater</w:t>
      </w:r>
    </w:p>
    <w:p w14:paraId="65ACAD70">
      <w:pPr>
        <w:pStyle w:val="3"/>
      </w:pPr>
      <w:r>
        <w:t>10  Commissioning and Final Checks</w:t>
      </w: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36EA47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03D417B">
            <w:pPr>
              <w:jc w:val="center"/>
            </w:pPr>
            <w:r>
              <w:rPr>
                <w:b/>
                <w:color w:val="FFFFFF"/>
                <w:sz w:val="20"/>
              </w:rPr>
              <w:t>1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75B07C95">
            <w:r>
              <w:rPr>
                <w:sz w:val="20"/>
              </w:rPr>
              <w:t>Confirm that the heater, pump, silencers, ducts, hoses, wiring and all clamps are securely mounted.</w:t>
            </w:r>
          </w:p>
        </w:tc>
      </w:tr>
    </w:tbl>
    <w:p w14:paraId="6D0631A8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5686C2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CC0F7FA">
            <w:pPr>
              <w:jc w:val="center"/>
            </w:pPr>
            <w:r>
              <w:rPr>
                <w:b/>
                <w:color w:val="FFFFFF"/>
                <w:sz w:val="20"/>
              </w:rPr>
              <w:t>2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8CA29F1">
            <w:r>
              <w:rPr>
                <w:sz w:val="20"/>
              </w:rPr>
              <w:t>Check that the nameplate remains visible and record the year of initial commissioning.</w:t>
            </w:r>
          </w:p>
        </w:tc>
      </w:tr>
    </w:tbl>
    <w:p w14:paraId="4F87AE07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00AD3F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DAF2267">
            <w:pPr>
              <w:jc w:val="center"/>
            </w:pPr>
            <w:r>
              <w:rPr>
                <w:b/>
                <w:color w:val="FFFFFF"/>
                <w:sz w:val="20"/>
              </w:rPr>
              <w:t>3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1244B43">
            <w:r>
              <w:rPr>
                <w:sz w:val="20"/>
              </w:rPr>
              <w:t>Inspect the fuel circuit for leakage and verify that the rigid pipes meet correctly in butt joints.</w:t>
            </w:r>
          </w:p>
        </w:tc>
      </w:tr>
    </w:tbl>
    <w:p w14:paraId="4858C81D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21B54D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D664465">
            <w:pPr>
              <w:jc w:val="center"/>
            </w:pPr>
            <w:r>
              <w:rPr>
                <w:b/>
                <w:color w:val="FFFFFF"/>
                <w:sz w:val="20"/>
              </w:rPr>
              <w:t>4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15652F2">
            <w:r>
              <w:rPr>
                <w:sz w:val="20"/>
              </w:rPr>
              <w:t>Verify that the exhaust terminates outside, points away from the direction of travel and cannot be blocked by snow or dirt.</w:t>
            </w:r>
          </w:p>
        </w:tc>
      </w:tr>
    </w:tbl>
    <w:p w14:paraId="5F08F63E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715DC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48ABBB50">
            <w:pPr>
              <w:jc w:val="center"/>
            </w:pPr>
            <w:r>
              <w:rPr>
                <w:b/>
                <w:color w:val="FFFFFF"/>
                <w:sz w:val="20"/>
              </w:rPr>
              <w:t>5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3678081E">
            <w:r>
              <w:rPr>
                <w:sz w:val="20"/>
              </w:rPr>
              <w:t>Verify that the combustion-air intake is separated from exhaust and cannot draw in fumes.</w:t>
            </w:r>
          </w:p>
        </w:tc>
      </w:tr>
    </w:tbl>
    <w:p w14:paraId="385576F9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12EDF7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9FA8F34">
            <w:pPr>
              <w:jc w:val="center"/>
            </w:pPr>
            <w:r>
              <w:rPr>
                <w:b/>
                <w:color w:val="FFFFFF"/>
                <w:sz w:val="20"/>
              </w:rPr>
              <w:t>6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9513DB9">
            <w:r>
              <w:rPr>
                <w:sz w:val="20"/>
              </w:rPr>
              <w:t>Verify that the hot-air intake and outlet are clear and that no stored items can contact the heater.</w:t>
            </w:r>
          </w:p>
        </w:tc>
      </w:tr>
    </w:tbl>
    <w:p w14:paraId="3B0924F5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4BB4E4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6C2CE09F">
            <w:pPr>
              <w:jc w:val="center"/>
            </w:pPr>
            <w:r>
              <w:rPr>
                <w:b/>
                <w:color w:val="FFFFFF"/>
                <w:sz w:val="20"/>
              </w:rPr>
              <w:t>7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43AD0144">
            <w:r>
              <w:rPr>
                <w:sz w:val="20"/>
              </w:rPr>
              <w:t>Prime only as required, then start the heater and confirm stable ignition, fuel-pump operation, fan operation and unobstructed airflow.</w:t>
            </w:r>
          </w:p>
        </w:tc>
      </w:tr>
    </w:tbl>
    <w:p w14:paraId="742DE845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42D605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A4EE558">
            <w:pPr>
              <w:jc w:val="center"/>
            </w:pPr>
            <w:r>
              <w:rPr>
                <w:b/>
                <w:color w:val="FFFFFF"/>
                <w:sz w:val="20"/>
              </w:rPr>
              <w:t>8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E60D974">
            <w:r>
              <w:rPr>
                <w:sz w:val="20"/>
              </w:rPr>
              <w:t>After approximately 10 minutes, confirm that the average air temperature about 30 cm from the outlet is no more than 110 °C at an intake temperature of about 20 °C.</w:t>
            </w:r>
          </w:p>
        </w:tc>
      </w:tr>
    </w:tbl>
    <w:p w14:paraId="777FA441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6CB003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2BB2DCF3">
            <w:pPr>
              <w:jc w:val="center"/>
            </w:pPr>
            <w:r>
              <w:rPr>
                <w:b/>
                <w:color w:val="FFFFFF"/>
                <w:sz w:val="20"/>
              </w:rPr>
              <w:t>9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14ABA9AF">
            <w:r>
              <w:rPr>
                <w:sz w:val="20"/>
              </w:rPr>
              <w:t>Stop the heater using the controller and confirm that the automatic after-run completes without interruption.</w:t>
            </w:r>
          </w:p>
        </w:tc>
      </w:tr>
    </w:tbl>
    <w:p w14:paraId="278F6414">
      <w:pPr>
        <w:spacing w:after="0"/>
      </w:pPr>
    </w:p>
    <w:tbl>
      <w:tblPr>
        <w:tblStyle w:val="32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33"/>
        <w:gridCol w:w="4933"/>
      </w:tblGrid>
      <w:tr w14:paraId="3F1458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567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shd w:val="clear" w:color="auto" w:fill="1E2A78"/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5849E8EF">
            <w:pPr>
              <w:jc w:val="center"/>
            </w:pPr>
            <w:r>
              <w:rPr>
                <w:b/>
                <w:color w:val="FFFFFF"/>
                <w:sz w:val="20"/>
              </w:rPr>
              <w:t>10</w:t>
            </w:r>
          </w:p>
        </w:tc>
        <w:tc>
          <w:tcPr>
            <w:tcW w:w="8731" w:type="dxa"/>
            <w:tcBorders>
              <w:top w:val="single" w:color="E1E3E8" w:sz="2" w:space="0"/>
              <w:left w:val="nil"/>
              <w:bottom w:val="single" w:color="E1E3E8" w:sz="2" w:space="0"/>
              <w:right w:val="nil"/>
            </w:tcBorders>
            <w:tcMar>
              <w:top w:w="90" w:type="dxa"/>
              <w:left w:w="110" w:type="dxa"/>
              <w:bottom w:w="90" w:type="dxa"/>
              <w:right w:w="110" w:type="dxa"/>
            </w:tcMar>
            <w:vAlign w:val="center"/>
          </w:tcPr>
          <w:p w14:paraId="08986C62">
            <w:r>
              <w:rPr>
                <w:sz w:val="20"/>
              </w:rPr>
              <w:t>Check again for fuel leakage, exhaust leakage, abnormal noise, overheating, loose fasteners and fault codes.</w:t>
            </w:r>
          </w:p>
        </w:tc>
      </w:tr>
    </w:tbl>
    <w:p w14:paraId="3DC80BA8">
      <w:pPr>
        <w:spacing w:after="0"/>
      </w:pP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1D7B4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BEAEA" w:sz="4" w:space="0"/>
              <w:left w:val="single" w:color="A52A2A" w:sz="18" w:space="0"/>
              <w:bottom w:val="single" w:color="FBEAEA" w:sz="4" w:space="0"/>
              <w:right w:val="single" w:color="FBEAEA" w:sz="4" w:space="0"/>
            </w:tcBorders>
            <w:shd w:val="clear" w:color="auto" w:fill="FBEAEA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585C5B7C">
            <w:r>
              <w:rPr>
                <w:b/>
                <w:color w:val="A52A2A"/>
              </w:rPr>
              <w:t xml:space="preserve">Do not release the vehicle: </w:t>
            </w:r>
            <w:r>
              <w:rPr>
                <w:sz w:val="19"/>
              </w:rPr>
              <w:t>Do not place the heater into service if there is any fuel or exhaust leak, repeated ignition failure, abnormal noise, blocked airflow, overheating or unresolved fault code.</w:t>
            </w:r>
          </w:p>
        </w:tc>
      </w:tr>
    </w:tbl>
    <w:p w14:paraId="531A6B7F">
      <w:pPr>
        <w:spacing w:after="0"/>
      </w:pPr>
    </w:p>
    <w:p w14:paraId="46780190">
      <w:r>
        <w:br w:type="page"/>
      </w:r>
    </w:p>
    <w:p w14:paraId="2960B56C">
      <w:pPr>
        <w:pStyle w:val="3"/>
      </w:pPr>
      <w:r>
        <w:t>Appendix A  Service Reference</w:t>
      </w:r>
    </w:p>
    <w:p w14:paraId="690FCCD0">
      <w:pPr>
        <w:keepNext/>
        <w:jc w:val="center"/>
      </w:pPr>
      <w:r>
        <w:drawing>
          <wp:inline distT="0" distB="0" distL="114300" distR="114300">
            <wp:extent cx="4139565" cy="408749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408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0F82C">
      <w:pPr>
        <w:pStyle w:val="164"/>
      </w:pPr>
      <w:r>
        <w:t>Exploded-view reference for Pro Max / Pro Max Alpine heater. Internal service must be carried out by qualified personnel.</w:t>
      </w:r>
    </w:p>
    <w:tbl>
      <w:tblPr>
        <w:tblStyle w:val="32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6"/>
        <w:gridCol w:w="2466"/>
        <w:gridCol w:w="2466"/>
        <w:gridCol w:w="2466"/>
      </w:tblGrid>
      <w:tr w14:paraId="47952C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72C9633A">
            <w:pPr>
              <w:jc w:val="center"/>
            </w:pPr>
            <w:r>
              <w:rPr>
                <w:b/>
                <w:color w:val="FFFFFF"/>
                <w:sz w:val="15"/>
              </w:rPr>
              <w:t>No.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69113583">
            <w:pPr>
              <w:jc w:val="center"/>
            </w:pPr>
            <w:r>
              <w:rPr>
                <w:b/>
                <w:color w:val="FFFFFF"/>
                <w:sz w:val="15"/>
              </w:rPr>
              <w:t>BOM part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65899252">
            <w:pPr>
              <w:jc w:val="center"/>
            </w:pPr>
            <w:r>
              <w:rPr>
                <w:b/>
                <w:color w:val="FFFFFF"/>
                <w:sz w:val="15"/>
              </w:rPr>
              <w:t>No.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1E2A78"/>
            <w:tcMar>
              <w:top w:w="90" w:type="dxa"/>
              <w:left w:w="75" w:type="dxa"/>
              <w:bottom w:w="90" w:type="dxa"/>
              <w:right w:w="75" w:type="dxa"/>
            </w:tcMar>
            <w:vAlign w:val="center"/>
          </w:tcPr>
          <w:p w14:paraId="3734D811">
            <w:pPr>
              <w:jc w:val="center"/>
            </w:pPr>
            <w:r>
              <w:rPr>
                <w:b/>
                <w:color w:val="FFFFFF"/>
                <w:sz w:val="15"/>
              </w:rPr>
              <w:t>BOM part</w:t>
            </w:r>
          </w:p>
        </w:tc>
      </w:tr>
      <w:tr w14:paraId="6A6269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AB84875">
            <w:r>
              <w:rPr>
                <w:sz w:val="15"/>
              </w:rPr>
              <w:t>1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CFB2093">
            <w:r>
              <w:rPr>
                <w:sz w:val="15"/>
              </w:rPr>
              <w:t>Lower housing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41B3B83">
            <w:r>
              <w:rPr>
                <w:sz w:val="15"/>
              </w:rPr>
              <w:t>8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708FB68">
            <w:r>
              <w:rPr>
                <w:sz w:val="15"/>
              </w:rPr>
              <w:t>Gasket</w:t>
            </w:r>
          </w:p>
        </w:tc>
      </w:tr>
      <w:tr w14:paraId="1CC67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49CC789">
            <w:r>
              <w:rPr>
                <w:sz w:val="15"/>
              </w:rPr>
              <w:t>2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CD7747E">
            <w:r>
              <w:rPr>
                <w:sz w:val="15"/>
              </w:rPr>
              <w:t>Rear housing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2D5B4E2">
            <w:r>
              <w:rPr>
                <w:sz w:val="15"/>
              </w:rPr>
              <w:t>9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AAC2A74">
            <w:r>
              <w:rPr>
                <w:sz w:val="15"/>
              </w:rPr>
              <w:t>Temperature sensor (Pro Max)</w:t>
            </w:r>
          </w:p>
        </w:tc>
      </w:tr>
      <w:tr w14:paraId="0B642A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23ABCD9">
            <w:r>
              <w:rPr>
                <w:sz w:val="15"/>
              </w:rPr>
              <w:t>3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2A33FFE">
            <w:r>
              <w:rPr>
                <w:sz w:val="15"/>
              </w:rPr>
              <w:t>Upper housing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EF83047">
            <w:r>
              <w:rPr>
                <w:sz w:val="15"/>
              </w:rPr>
              <w:t>10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588F577">
            <w:r>
              <w:rPr>
                <w:sz w:val="15"/>
              </w:rPr>
              <w:t>Kyocera glow plug</w:t>
            </w:r>
          </w:p>
        </w:tc>
      </w:tr>
      <w:tr w14:paraId="23DC2E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2AC3F53F">
            <w:r>
              <w:rPr>
                <w:sz w:val="15"/>
              </w:rPr>
              <w:t>4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1F68AFA">
            <w:r>
              <w:rPr>
                <w:sz w:val="15"/>
              </w:rPr>
              <w:t>Seal rubber gasket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6E90CD1">
            <w:r>
              <w:rPr>
                <w:sz w:val="15"/>
              </w:rPr>
              <w:t>11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3979434F">
            <w:r>
              <w:rPr>
                <w:sz w:val="15"/>
              </w:rPr>
              <w:t>Heating exchanger</w:t>
            </w:r>
          </w:p>
        </w:tc>
      </w:tr>
      <w:tr w14:paraId="000283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1D28E804">
            <w:r>
              <w:rPr>
                <w:sz w:val="15"/>
              </w:rPr>
              <w:t>5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6C2E05AC">
            <w:r>
              <w:rPr>
                <w:sz w:val="15"/>
              </w:rPr>
              <w:t>Safety grid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5ABC6C6E">
            <w:r>
              <w:rPr>
                <w:sz w:val="15"/>
              </w:rPr>
              <w:t>12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4CE5118">
            <w:r>
              <w:rPr>
                <w:sz w:val="15"/>
              </w:rPr>
              <w:t>Burner</w:t>
            </w:r>
          </w:p>
        </w:tc>
      </w:tr>
      <w:tr w14:paraId="3721C1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7855B4A">
            <w:r>
              <w:rPr>
                <w:sz w:val="15"/>
              </w:rPr>
              <w:t>6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413D84E">
            <w:r>
              <w:rPr>
                <w:sz w:val="15"/>
              </w:rPr>
              <w:t>ECU board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1CAD848">
            <w:r>
              <w:rPr>
                <w:sz w:val="15"/>
              </w:rPr>
              <w:t>13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shd w:val="clear" w:color="auto" w:fill="F7F8FA"/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133CC0C">
            <w:r>
              <w:rPr>
                <w:sz w:val="15"/>
              </w:rPr>
              <w:t>Gasket</w:t>
            </w:r>
          </w:p>
        </w:tc>
      </w:tr>
      <w:tr w14:paraId="498B29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BB838F5">
            <w:r>
              <w:rPr>
                <w:sz w:val="15"/>
              </w:rPr>
              <w:t>7</w:t>
            </w:r>
          </w:p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492D949E">
            <w:r>
              <w:rPr>
                <w:sz w:val="15"/>
              </w:rPr>
              <w:t>Motor fan assembly (brushless)</w:t>
            </w:r>
          </w:p>
        </w:tc>
        <w:tc>
          <w:tcPr>
            <w:tcW w:w="737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0F8E5F76"/>
        </w:tc>
        <w:tc>
          <w:tcPr>
            <w:tcW w:w="3912" w:type="dxa"/>
            <w:tcBorders>
              <w:top w:val="single" w:color="B7BBC5" w:sz="6" w:space="0"/>
              <w:left w:val="single" w:color="B7BBC5" w:sz="6" w:space="0"/>
              <w:bottom w:val="single" w:color="B7BBC5" w:sz="6" w:space="0"/>
              <w:right w:val="single" w:color="B7BBC5" w:sz="6" w:space="0"/>
            </w:tcBorders>
            <w:tcMar>
              <w:top w:w="75" w:type="dxa"/>
              <w:left w:w="80" w:type="dxa"/>
              <w:bottom w:w="75" w:type="dxa"/>
              <w:right w:w="80" w:type="dxa"/>
            </w:tcMar>
            <w:vAlign w:val="center"/>
          </w:tcPr>
          <w:p w14:paraId="771EF0C9"/>
        </w:tc>
      </w:tr>
    </w:tbl>
    <w:p w14:paraId="209B6B8B">
      <w:pPr>
        <w:spacing w:after="0"/>
      </w:pPr>
    </w:p>
    <w:tbl>
      <w:tblPr>
        <w:tblStyle w:val="32"/>
        <w:tblW w:w="0" w:type="auto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66"/>
      </w:tblGrid>
      <w:tr w14:paraId="295C44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jc w:val="center"/>
        </w:trPr>
        <w:tc>
          <w:tcPr>
            <w:tcW w:w="9866" w:type="dxa"/>
            <w:tcBorders>
              <w:top w:val="single" w:color="FFF6DE" w:sz="4" w:space="0"/>
              <w:left w:val="single" w:color="8A5A00" w:sz="18" w:space="0"/>
              <w:bottom w:val="single" w:color="FFF6DE" w:sz="4" w:space="0"/>
              <w:right w:val="single" w:color="FFF6DE" w:sz="4" w:space="0"/>
            </w:tcBorders>
            <w:shd w:val="clear" w:color="auto" w:fill="FFF6DE"/>
            <w:tcMar>
              <w:top w:w="110" w:type="dxa"/>
              <w:left w:w="160" w:type="dxa"/>
              <w:bottom w:w="110" w:type="dxa"/>
              <w:right w:w="160" w:type="dxa"/>
            </w:tcMar>
          </w:tcPr>
          <w:p w14:paraId="49547382">
            <w:r>
              <w:rPr>
                <w:b/>
                <w:color w:val="8A5A00"/>
              </w:rPr>
              <w:t xml:space="preserve">Heat exchanger: </w:t>
            </w:r>
            <w:r>
              <w:rPr>
                <w:rFonts w:hint="eastAsia" w:eastAsia="宋体"/>
                <w:sz w:val="19"/>
                <w:lang w:val="en-US" w:eastAsia="zh-CN"/>
              </w:rPr>
              <w:t>R</w:t>
            </w:r>
            <w:r>
              <w:rPr>
                <w:sz w:val="19"/>
              </w:rPr>
              <w:t>eplac</w:t>
            </w:r>
            <w:r>
              <w:rPr>
                <w:rFonts w:hint="eastAsia" w:eastAsia="宋体"/>
                <w:sz w:val="19"/>
                <w:lang w:val="en-US" w:eastAsia="zh-CN"/>
              </w:rPr>
              <w:t xml:space="preserve">e </w:t>
            </w:r>
            <w:r>
              <w:rPr>
                <w:sz w:val="19"/>
              </w:rPr>
              <w:t>the air-heater heat exchanger 10 years after initial commissioning. Record the installation date and follow the a</w:t>
            </w:r>
            <w:bookmarkStart w:id="0" w:name="_GoBack"/>
            <w:bookmarkEnd w:id="0"/>
            <w:r>
              <w:rPr>
                <w:sz w:val="19"/>
              </w:rPr>
              <w:t>pplicable service procedure.</w:t>
            </w:r>
          </w:p>
        </w:tc>
      </w:tr>
    </w:tbl>
    <w:p w14:paraId="3397BB13">
      <w:pPr>
        <w:spacing w:after="0"/>
      </w:pPr>
    </w:p>
    <w:sectPr>
      <w:headerReference r:id="rId6" w:type="first"/>
      <w:footerReference r:id="rId8" w:type="first"/>
      <w:headerReference r:id="rId5" w:type="default"/>
      <w:footerReference r:id="rId7" w:type="default"/>
      <w:pgSz w:w="11906" w:h="16838"/>
      <w:pgMar w:top="964" w:right="1020" w:bottom="907" w:left="1020" w:header="369" w:footer="369" w:gutter="0"/>
      <w:cols w:space="720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ＭＳ 明朝">
    <w:altName w:val="Kozuka Mincho Pr6N R"/>
    <w:panose1 w:val="00000000000000000000"/>
    <w:charset w:val="80"/>
    <w:family w:val="roman"/>
    <w:pitch w:val="default"/>
    <w:sig w:usb0="00000000" w:usb1="00000000" w:usb2="00000010" w:usb3="00000000" w:csb0="00020000" w:csb1="00000000"/>
  </w:font>
  <w:font w:name="ＭＳ 明朝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">
    <w:altName w:val="Courier New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ＭＳ 明朝">
    <w:altName w:val="AMGD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MGDT">
    <w:panose1 w:val="02000400000000000000"/>
    <w:charset w:val="00"/>
    <w:family w:val="auto"/>
    <w:pitch w:val="default"/>
    <w:sig w:usb0="80000003" w:usb1="10000000" w:usb2="00000000" w:usb3="00000000" w:csb0="00000001" w:csb1="00000000"/>
  </w:font>
  <w:font w:name="Kozuka Mincho Pr6N R">
    <w:panose1 w:val="02020400000000000000"/>
    <w:charset w:val="80"/>
    <w:family w:val="auto"/>
    <w:pitch w:val="default"/>
    <w:sig w:usb0="000002D7" w:usb1="2AC73C11" w:usb2="00000012" w:usb3="00000000" w:csb0="2002009F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71D726">
    <w:pPr>
      <w:pStyle w:val="24"/>
      <w:jc w:val="center"/>
    </w:pPr>
    <w:r>
      <w:rPr>
        <w:rFonts w:ascii="Arial" w:hAnsi="Arial"/>
        <w:color w:val="6B6F78"/>
        <w:sz w:val="16"/>
      </w:rPr>
      <w:t xml:space="preserve">LAVANER  |  Pro Max Air Heater  |  </w:t>
    </w:r>
    <w:r>
      <w:fldChar w:fldCharType="begin"/>
    </w:r>
    <w:r>
      <w:instrText xml:space="preserve">PAGE</w:instrTex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FA14B6">
    <w:pPr>
      <w:pStyle w:val="2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69" w:lineRule="auto"/>
      </w:pPr>
      <w:r>
        <w:separator/>
      </w:r>
    </w:p>
  </w:footnote>
  <w:footnote w:type="continuationSeparator" w:id="1">
    <w:p>
      <w:pPr>
        <w:spacing w:before="0" w:after="0" w:line="26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2EE2D">
    <w:pPr>
      <w:pStyle w:val="25"/>
    </w:pPr>
  </w:p>
  <w:tbl>
    <w:tblPr>
      <w:tblStyle w:val="3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4932"/>
      <w:gridCol w:w="4932"/>
    </w:tblGrid>
    <w:tr w14:paraId="6EF38C79">
      <w:tblPrEx>
        <w:tblCellMar>
          <w:top w:w="0" w:type="dxa"/>
          <w:left w:w="108" w:type="dxa"/>
          <w:bottom w:w="0" w:type="dxa"/>
          <w:right w:w="108" w:type="dxa"/>
        </w:tblCellMar>
      </w:tblPrEx>
      <w:tc>
        <w:tcPr>
          <w:tcW w:w="2835" w:type="dxa"/>
          <w:tcBorders>
            <w:top w:val="nil"/>
            <w:left w:val="nil"/>
            <w:bottom w:val="single" w:color="F3C700" w:sz="8" w:space="0"/>
            <w:right w:val="nil"/>
          </w:tcBorders>
          <w:tcMar>
            <w:top w:w="0" w:type="dxa"/>
            <w:left w:w="0" w:type="dxa"/>
            <w:bottom w:w="60" w:type="dxa"/>
            <w:right w:w="0" w:type="dxa"/>
          </w:tcMar>
        </w:tcPr>
        <w:p w14:paraId="5158E3E2">
          <w:r>
            <w:drawing>
              <wp:inline distT="0" distB="0" distL="114300" distR="114300">
                <wp:extent cx="1295400" cy="358775"/>
                <wp:effectExtent l="0" t="0" r="0" b="9525"/>
                <wp:docPr id="18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1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6000" cy="3591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0" w:type="dxa"/>
          <w:tcBorders>
            <w:top w:val="nil"/>
            <w:left w:val="nil"/>
            <w:bottom w:val="single" w:color="F3C700" w:sz="8" w:space="0"/>
            <w:right w:val="nil"/>
          </w:tcBorders>
          <w:tcMar>
            <w:top w:w="0" w:type="dxa"/>
            <w:left w:w="0" w:type="dxa"/>
            <w:bottom w:w="60" w:type="dxa"/>
            <w:right w:w="0" w:type="dxa"/>
          </w:tcMar>
        </w:tcPr>
        <w:p w14:paraId="7C25120B">
          <w:pPr>
            <w:jc w:val="right"/>
          </w:pPr>
          <w:r>
            <w:rPr>
              <w:rFonts w:ascii="Arial" w:hAnsi="Arial"/>
              <w:b/>
              <w:color w:val="1E2A78"/>
              <w:sz w:val="18"/>
            </w:rPr>
            <w:t>Installation Guide</w:t>
          </w:r>
        </w:p>
      </w:tc>
    </w:tr>
  </w:tbl>
  <w:p w14:paraId="06E72334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977832"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E"/>
    <w:multiLevelType w:val="singleLevel"/>
    <w:tmpl w:val="FFFFFF7E"/>
    <w:lvl w:ilvl="0" w:tentative="0">
      <w:start w:val="1"/>
      <w:numFmt w:val="decimal"/>
      <w:pStyle w:val="20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 w:tentative="0">
      <w:start w:val="1"/>
      <w:numFmt w:val="bullet"/>
      <w:pStyle w:val="18"/>
      <w:lvlText w:val=""/>
      <w:lvlJc w:val="left"/>
      <w:pPr>
        <w:tabs>
          <w:tab w:val="left" w:pos="1080"/>
        </w:tabs>
        <w:ind w:left="1080" w:hanging="360"/>
      </w:pPr>
      <w:rPr>
        <w:rFonts w:hint="default" w:ascii="Symbol" w:hAnsi="Symbol"/>
      </w:rPr>
    </w:lvl>
  </w:abstractNum>
  <w:abstractNum w:abstractNumId="3">
    <w:nsid w:val="FFFFFF83"/>
    <w:multiLevelType w:val="singleLevel"/>
    <w:tmpl w:val="FFFFFF83"/>
    <w:lvl w:ilvl="0" w:tentative="0">
      <w:start w:val="1"/>
      <w:numFmt w:val="bullet"/>
      <w:pStyle w:val="23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</w:rPr>
    </w:lvl>
  </w:abstractNum>
  <w:abstractNum w:abstractNumId="4">
    <w:nsid w:val="FFFFFF88"/>
    <w:multiLevelType w:val="singleLevel"/>
    <w:tmpl w:val="FFFFFF88"/>
    <w:lvl w:ilvl="0" w:tentative="0">
      <w:start w:val="1"/>
      <w:numFmt w:val="decimal"/>
      <w:pStyle w:val="14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 w:tentative="0">
      <w:start w:val="1"/>
      <w:numFmt w:val="bullet"/>
      <w:pStyle w:val="16"/>
      <w:lvlText w:val=""/>
      <w:lvlJc w:val="left"/>
      <w:pPr>
        <w:tabs>
          <w:tab w:val="left" w:pos="360"/>
        </w:tabs>
        <w:ind w:left="360" w:hanging="360"/>
      </w:pPr>
      <w:rPr>
        <w:rFonts w:hint="default" w:ascii="Symbol" w:hAnsi="Symbol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  <w:rsid w:val="30D72A87"/>
    <w:rsid w:val="67D1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semiHidden="0" w:name="macro"/>
    <w:lsdException w:uiPriority="99" w:name="toa heading"/>
    <w:lsdException w:qFormat="1" w:uiPriority="99" w:semiHidden="0" w:name="List"/>
    <w:lsdException w:qFormat="1" w:uiPriority="99" w:semiHidden="0" w:name="List Bullet"/>
    <w:lsdException w:qFormat="1" w:uiPriority="99" w:semiHidden="0" w:name="List Number"/>
    <w:lsdException w:qFormat="1" w:uiPriority="99" w:semiHidden="0" w:name="List 2"/>
    <w:lsdException w:qFormat="1" w:uiPriority="99" w:semiHidden="0" w:name="List 3"/>
    <w:lsdException w:uiPriority="99" w:name="List 4"/>
    <w:lsdException w:uiPriority="99" w:name="List 5"/>
    <w:lsdException w:qFormat="1" w:uiPriority="99" w:semiHidden="0" w:name="List Bullet 2"/>
    <w:lsdException w:qFormat="1" w:uiPriority="99" w:semiHidden="0" w:name="List Bullet 3"/>
    <w:lsdException w:uiPriority="99" w:name="List Bullet 4"/>
    <w:lsdException w:uiPriority="99" w:name="List Bullet 5"/>
    <w:lsdException w:uiPriority="99" w:semiHidden="0" w:name="List Number 2"/>
    <w:lsdException w:uiPriority="99" w:semiHidden="0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uiPriority="99" w:name="Body Text Indent"/>
    <w:lsdException w:uiPriority="99" w:semiHidden="0" w:name="List Continue"/>
    <w:lsdException w:uiPriority="99" w:semiHidden="0" w:name="List Continue 2"/>
    <w:lsdException w:qFormat="1" w:uiPriority="99" w:semiHidden="0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qFormat="1" w:uiPriority="99" w:semiHidden="0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qFormat="1"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qFormat="1" w:unhideWhenUsed="0" w:uiPriority="66" w:semiHidden="0" w:name="Medium List 2 Accent 1"/>
    <w:lsdException w:qFormat="1" w:unhideWhenUsed="0" w:uiPriority="67" w:semiHidden="0" w:name="Medium Grid 1 Accent 1"/>
    <w:lsdException w:qFormat="1"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unhideWhenUsed="0" w:uiPriority="61" w:semiHidden="0" w:name="Light List Accent 2"/>
    <w:lsdException w:qFormat="1" w:unhideWhenUsed="0" w:uiPriority="62" w:semiHidden="0" w:name="Light Grid Accent 2"/>
    <w:lsdException w:qFormat="1"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qFormat="1"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qFormat="1"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qFormat="1"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qFormat="1"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qFormat="1"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qFormat="1"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80" w:line="269" w:lineRule="auto"/>
    </w:pPr>
    <w:rPr>
      <w:rFonts w:ascii="Arial" w:hAnsi="Arial" w:eastAsia="Arial" w:cstheme="minorBidi"/>
      <w:sz w:val="20"/>
      <w:szCs w:val="22"/>
      <w:lang w:val="en-US" w:eastAsia="en-US" w:bidi="ar-SA"/>
    </w:rPr>
  </w:style>
  <w:style w:type="paragraph" w:styleId="3">
    <w:name w:val="heading 1"/>
    <w:basedOn w:val="1"/>
    <w:next w:val="1"/>
    <w:link w:val="138"/>
    <w:qFormat/>
    <w:uiPriority w:val="9"/>
    <w:pPr>
      <w:keepNext/>
      <w:keepLines/>
      <w:pageBreakBefore w:val="0"/>
      <w:spacing w:before="240" w:after="140"/>
      <w:outlineLvl w:val="0"/>
    </w:pPr>
    <w:rPr>
      <w:rFonts w:asciiTheme="majorHAnsi" w:hAnsiTheme="majorHAnsi" w:eastAsiaTheme="majorEastAsia" w:cstheme="majorBidi"/>
      <w:b/>
      <w:bCs/>
      <w:color w:val="1E2A78"/>
      <w:sz w:val="36"/>
      <w:szCs w:val="28"/>
    </w:rPr>
  </w:style>
  <w:style w:type="paragraph" w:styleId="4">
    <w:name w:val="heading 2"/>
    <w:basedOn w:val="1"/>
    <w:next w:val="1"/>
    <w:link w:val="139"/>
    <w:unhideWhenUsed/>
    <w:qFormat/>
    <w:uiPriority w:val="9"/>
    <w:pPr>
      <w:keepNext/>
      <w:keepLines/>
      <w:spacing w:before="180" w:after="80"/>
      <w:outlineLvl w:val="1"/>
    </w:pPr>
    <w:rPr>
      <w:rFonts w:asciiTheme="majorHAnsi" w:hAnsiTheme="majorHAnsi" w:eastAsiaTheme="majorEastAsia" w:cstheme="majorBidi"/>
      <w:b/>
      <w:bCs/>
      <w:color w:val="334AA3"/>
      <w:sz w:val="26"/>
      <w:szCs w:val="26"/>
    </w:rPr>
  </w:style>
  <w:style w:type="paragraph" w:styleId="5">
    <w:name w:val="heading 3"/>
    <w:basedOn w:val="1"/>
    <w:next w:val="1"/>
    <w:link w:val="140"/>
    <w:unhideWhenUsed/>
    <w:qFormat/>
    <w:uiPriority w:val="9"/>
    <w:pPr>
      <w:keepNext/>
      <w:keepLines/>
      <w:spacing w:before="120" w:after="60"/>
      <w:outlineLvl w:val="2"/>
    </w:pPr>
    <w:rPr>
      <w:rFonts w:asciiTheme="majorHAnsi" w:hAnsiTheme="majorHAnsi" w:eastAsiaTheme="majorEastAsia" w:cstheme="majorBidi"/>
      <w:b/>
      <w:bCs/>
      <w:color w:val="20232A"/>
      <w:sz w:val="22"/>
    </w:rPr>
  </w:style>
  <w:style w:type="paragraph" w:styleId="6">
    <w:name w:val="heading 4"/>
    <w:basedOn w:val="1"/>
    <w:next w:val="1"/>
    <w:link w:val="150"/>
    <w:semiHidden/>
    <w:unhideWhenUsed/>
    <w:qFormat/>
    <w:uiPriority w:val="9"/>
    <w:pPr>
      <w:keepNext/>
      <w:keepLines/>
      <w:spacing w:before="200" w:after="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paragraph" w:styleId="7">
    <w:name w:val="heading 5"/>
    <w:basedOn w:val="1"/>
    <w:next w:val="1"/>
    <w:link w:val="151"/>
    <w:semiHidden/>
    <w:unhideWhenUsed/>
    <w:qFormat/>
    <w:uiPriority w:val="9"/>
    <w:pPr>
      <w:keepNext/>
      <w:keepLines/>
      <w:spacing w:before="200" w:after="0"/>
      <w:outlineLvl w:val="4"/>
    </w:pPr>
    <w:rPr>
      <w:rFonts w:asciiTheme="majorHAnsi" w:hAnsiTheme="majorHAnsi" w:eastAsiaTheme="majorEastAsia" w:cstheme="majorBidi"/>
      <w:color w:val="254061" w:themeColor="accent1" w:themeShade="80"/>
    </w:rPr>
  </w:style>
  <w:style w:type="paragraph" w:styleId="8">
    <w:name w:val="heading 6"/>
    <w:basedOn w:val="1"/>
    <w:next w:val="1"/>
    <w:link w:val="152"/>
    <w:semiHidden/>
    <w:unhideWhenUsed/>
    <w:qFormat/>
    <w:uiPriority w:val="9"/>
    <w:pPr>
      <w:keepNext/>
      <w:keepLines/>
      <w:spacing w:before="200" w:after="0"/>
      <w:outlineLvl w:val="5"/>
    </w:pPr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paragraph" w:styleId="9">
    <w:name w:val="heading 7"/>
    <w:basedOn w:val="1"/>
    <w:next w:val="1"/>
    <w:link w:val="153"/>
    <w:semiHidden/>
    <w:unhideWhenUsed/>
    <w:qFormat/>
    <w:uiPriority w:val="9"/>
    <w:pPr>
      <w:keepNext/>
      <w:keepLines/>
      <w:spacing w:before="200" w:after="0"/>
      <w:outlineLvl w:val="6"/>
    </w:pPr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0">
    <w:name w:val="heading 8"/>
    <w:basedOn w:val="1"/>
    <w:next w:val="1"/>
    <w:link w:val="154"/>
    <w:semiHidden/>
    <w:unhideWhenUsed/>
    <w:qFormat/>
    <w:uiPriority w:val="9"/>
    <w:pPr>
      <w:keepNext/>
      <w:keepLines/>
      <w:spacing w:before="200" w:after="0"/>
      <w:outlineLvl w:val="7"/>
    </w:pPr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paragraph" w:styleId="11">
    <w:name w:val="heading 9"/>
    <w:basedOn w:val="1"/>
    <w:next w:val="1"/>
    <w:link w:val="155"/>
    <w:semiHidden/>
    <w:unhideWhenUsed/>
    <w:qFormat/>
    <w:uiPriority w:val="9"/>
    <w:pPr>
      <w:keepNext/>
      <w:keepLines/>
      <w:spacing w:before="200" w:after="0"/>
      <w:outlineLvl w:val="8"/>
    </w:pPr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default="1" w:styleId="132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link w:val="147"/>
    <w:unhideWhenUsed/>
    <w:uiPriority w:val="99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 w:eastAsiaTheme="minorEastAsia" w:cstheme="minorBidi"/>
      <w:sz w:val="20"/>
      <w:szCs w:val="20"/>
      <w:lang w:val="en-US" w:eastAsia="en-US" w:bidi="ar-SA"/>
    </w:rPr>
  </w:style>
  <w:style w:type="paragraph" w:styleId="12">
    <w:name w:val="List 3"/>
    <w:basedOn w:val="1"/>
    <w:unhideWhenUsed/>
    <w:qFormat/>
    <w:uiPriority w:val="99"/>
    <w:pPr>
      <w:ind w:left="1080" w:hanging="360"/>
      <w:contextualSpacing/>
    </w:pPr>
  </w:style>
  <w:style w:type="paragraph" w:styleId="13">
    <w:name w:val="List Number 2"/>
    <w:basedOn w:val="1"/>
    <w:unhideWhenUsed/>
    <w:uiPriority w:val="99"/>
    <w:pPr>
      <w:numPr>
        <w:ilvl w:val="0"/>
        <w:numId w:val="1"/>
      </w:numPr>
      <w:contextualSpacing/>
    </w:pPr>
  </w:style>
  <w:style w:type="paragraph" w:styleId="14">
    <w:name w:val="List Number"/>
    <w:basedOn w:val="1"/>
    <w:unhideWhenUsed/>
    <w:qFormat/>
    <w:uiPriority w:val="99"/>
    <w:pPr>
      <w:numPr>
        <w:ilvl w:val="0"/>
        <w:numId w:val="2"/>
      </w:numPr>
      <w:contextualSpacing/>
    </w:pPr>
  </w:style>
  <w:style w:type="paragraph" w:styleId="15">
    <w:name w:val="caption"/>
    <w:basedOn w:val="1"/>
    <w:next w:val="1"/>
    <w:semiHidden/>
    <w:unhideWhenUsed/>
    <w:qFormat/>
    <w:uiPriority w:val="35"/>
    <w:pPr>
      <w:spacing w:line="240" w:lineRule="auto"/>
    </w:pPr>
    <w:rPr>
      <w:b/>
      <w:bCs/>
      <w:color w:val="4F81BD" w:themeColor="accent1"/>
      <w:sz w:val="18"/>
      <w:szCs w:val="18"/>
      <w14:textFill>
        <w14:solidFill>
          <w14:schemeClr w14:val="accent1"/>
        </w14:solidFill>
      </w14:textFill>
    </w:rPr>
  </w:style>
  <w:style w:type="paragraph" w:styleId="16">
    <w:name w:val="List Bullet"/>
    <w:basedOn w:val="1"/>
    <w:unhideWhenUsed/>
    <w:qFormat/>
    <w:uiPriority w:val="99"/>
    <w:pPr>
      <w:numPr>
        <w:ilvl w:val="0"/>
        <w:numId w:val="3"/>
      </w:numPr>
      <w:contextualSpacing/>
    </w:pPr>
  </w:style>
  <w:style w:type="paragraph" w:styleId="17">
    <w:name w:val="Body Text 3"/>
    <w:basedOn w:val="1"/>
    <w:link w:val="146"/>
    <w:unhideWhenUsed/>
    <w:qFormat/>
    <w:uiPriority w:val="99"/>
    <w:pPr>
      <w:spacing w:after="120"/>
    </w:pPr>
    <w:rPr>
      <w:sz w:val="16"/>
      <w:szCs w:val="16"/>
    </w:rPr>
  </w:style>
  <w:style w:type="paragraph" w:styleId="18">
    <w:name w:val="List Bullet 3"/>
    <w:basedOn w:val="1"/>
    <w:unhideWhenUsed/>
    <w:qFormat/>
    <w:uiPriority w:val="99"/>
    <w:pPr>
      <w:numPr>
        <w:ilvl w:val="0"/>
        <w:numId w:val="4"/>
      </w:numPr>
      <w:contextualSpacing/>
    </w:pPr>
  </w:style>
  <w:style w:type="paragraph" w:styleId="19">
    <w:name w:val="Body Text"/>
    <w:basedOn w:val="1"/>
    <w:link w:val="144"/>
    <w:unhideWhenUsed/>
    <w:qFormat/>
    <w:uiPriority w:val="99"/>
    <w:pPr>
      <w:spacing w:after="120"/>
    </w:pPr>
  </w:style>
  <w:style w:type="paragraph" w:styleId="20">
    <w:name w:val="List Number 3"/>
    <w:basedOn w:val="1"/>
    <w:unhideWhenUsed/>
    <w:uiPriority w:val="99"/>
    <w:pPr>
      <w:numPr>
        <w:ilvl w:val="0"/>
        <w:numId w:val="5"/>
      </w:numPr>
      <w:contextualSpacing/>
    </w:pPr>
  </w:style>
  <w:style w:type="paragraph" w:styleId="21">
    <w:name w:val="List 2"/>
    <w:basedOn w:val="1"/>
    <w:unhideWhenUsed/>
    <w:qFormat/>
    <w:uiPriority w:val="99"/>
    <w:pPr>
      <w:ind w:left="720" w:hanging="360"/>
      <w:contextualSpacing/>
    </w:pPr>
  </w:style>
  <w:style w:type="paragraph" w:styleId="22">
    <w:name w:val="List Continue"/>
    <w:basedOn w:val="1"/>
    <w:unhideWhenUsed/>
    <w:uiPriority w:val="99"/>
    <w:pPr>
      <w:spacing w:after="120"/>
      <w:ind w:left="360"/>
      <w:contextualSpacing/>
    </w:pPr>
  </w:style>
  <w:style w:type="paragraph" w:styleId="23">
    <w:name w:val="List Bullet 2"/>
    <w:basedOn w:val="1"/>
    <w:unhideWhenUsed/>
    <w:qFormat/>
    <w:uiPriority w:val="99"/>
    <w:pPr>
      <w:numPr>
        <w:ilvl w:val="0"/>
        <w:numId w:val="6"/>
      </w:numPr>
      <w:contextualSpacing/>
    </w:pPr>
  </w:style>
  <w:style w:type="paragraph" w:styleId="24">
    <w:name w:val="footer"/>
    <w:basedOn w:val="1"/>
    <w:link w:val="136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5">
    <w:name w:val="header"/>
    <w:basedOn w:val="1"/>
    <w:link w:val="135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26">
    <w:name w:val="Subtitle"/>
    <w:basedOn w:val="1"/>
    <w:next w:val="1"/>
    <w:link w:val="142"/>
    <w:qFormat/>
    <w:uiPriority w:val="11"/>
    <w:pPr>
      <w:keepNext/>
      <w:spacing w:before="0" w:after="160"/>
    </w:pPr>
    <w:rPr>
      <w:rFonts w:asciiTheme="majorHAnsi" w:hAnsiTheme="majorHAnsi" w:eastAsiaTheme="majorEastAsia" w:cstheme="majorBidi"/>
      <w:i/>
      <w:iCs/>
      <w:color w:val="60646F"/>
      <w:spacing w:val="15"/>
      <w:sz w:val="26"/>
      <w:szCs w:val="24"/>
    </w:rPr>
  </w:style>
  <w:style w:type="paragraph" w:styleId="27">
    <w:name w:val="List"/>
    <w:basedOn w:val="1"/>
    <w:unhideWhenUsed/>
    <w:qFormat/>
    <w:uiPriority w:val="99"/>
    <w:pPr>
      <w:ind w:left="360" w:hanging="360"/>
      <w:contextualSpacing/>
    </w:pPr>
  </w:style>
  <w:style w:type="paragraph" w:styleId="28">
    <w:name w:val="Body Text 2"/>
    <w:basedOn w:val="1"/>
    <w:link w:val="145"/>
    <w:unhideWhenUsed/>
    <w:qFormat/>
    <w:uiPriority w:val="99"/>
    <w:pPr>
      <w:spacing w:after="120" w:line="480" w:lineRule="auto"/>
    </w:pPr>
  </w:style>
  <w:style w:type="paragraph" w:styleId="29">
    <w:name w:val="List Continue 2"/>
    <w:basedOn w:val="1"/>
    <w:unhideWhenUsed/>
    <w:uiPriority w:val="99"/>
    <w:pPr>
      <w:spacing w:after="120"/>
      <w:ind w:left="720"/>
      <w:contextualSpacing/>
    </w:pPr>
  </w:style>
  <w:style w:type="paragraph" w:styleId="30">
    <w:name w:val="List Continue 3"/>
    <w:basedOn w:val="1"/>
    <w:unhideWhenUsed/>
    <w:qFormat/>
    <w:uiPriority w:val="99"/>
    <w:pPr>
      <w:spacing w:after="120"/>
      <w:ind w:left="1080"/>
      <w:contextualSpacing/>
    </w:pPr>
  </w:style>
  <w:style w:type="paragraph" w:styleId="31">
    <w:name w:val="Title"/>
    <w:basedOn w:val="1"/>
    <w:next w:val="1"/>
    <w:link w:val="141"/>
    <w:qFormat/>
    <w:uiPriority w:val="10"/>
    <w:pPr>
      <w:keepNext/>
      <w:pBdr>
        <w:bottom w:val="single" w:color="4F81BD" w:themeColor="accent1" w:sz="8" w:space="4"/>
      </w:pBdr>
      <w:spacing w:before="0" w:after="160" w:line="240" w:lineRule="auto"/>
      <w:contextualSpacing/>
    </w:pPr>
    <w:rPr>
      <w:rFonts w:asciiTheme="majorHAnsi" w:hAnsiTheme="majorHAnsi" w:eastAsiaTheme="majorEastAsia" w:cstheme="majorBidi"/>
      <w:b/>
      <w:color w:val="1E2A78"/>
      <w:spacing w:val="5"/>
      <w:kern w:val="28"/>
      <w:sz w:val="56"/>
      <w:szCs w:val="52"/>
    </w:rPr>
  </w:style>
  <w:style w:type="table" w:styleId="33">
    <w:name w:val="Table Grid"/>
    <w:basedOn w:val="32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34">
    <w:name w:val="Light Shading"/>
    <w:basedOn w:val="32"/>
    <w:qFormat/>
    <w:uiPriority w:val="60"/>
    <w:pPr>
      <w:spacing w:after="0" w:line="240" w:lineRule="auto"/>
    </w:pPr>
    <w:rPr>
      <w:color w:val="000000" w:themeColor="text1" w:themeShade="BF"/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themeColor="text1" w:sz="8" w:space="0"/>
          <w:left w:val="nil"/>
          <w:bottom w:val="single" w:color="000000" w:themeColor="tex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</w:style>
  <w:style w:type="table" w:styleId="35">
    <w:name w:val="Light Shading Accent 1"/>
    <w:basedOn w:val="32"/>
    <w:qFormat/>
    <w:uiPriority w:val="60"/>
    <w:pPr>
      <w:spacing w:after="0" w:line="240" w:lineRule="auto"/>
    </w:pPr>
    <w:rPr>
      <w:color w:val="376092" w:themeColor="accent1" w:themeShade="BF"/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themeColor="accent1" w:sz="8" w:space="0"/>
          <w:left w:val="nil"/>
          <w:bottom w:val="single" w:color="4F81BD" w:themeColor="accent1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36">
    <w:name w:val="Light Shading Accent 2"/>
    <w:basedOn w:val="32"/>
    <w:qFormat/>
    <w:uiPriority w:val="60"/>
    <w:pPr>
      <w:spacing w:after="0" w:line="240" w:lineRule="auto"/>
    </w:pPr>
    <w:rPr>
      <w:color w:val="953735" w:themeColor="accent2" w:themeShade="BF"/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themeColor="accent2" w:sz="8" w:space="0"/>
          <w:left w:val="nil"/>
          <w:bottom w:val="single" w:color="C0504D" w:themeColor="accent2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</w:style>
  <w:style w:type="table" w:styleId="37">
    <w:name w:val="Light Shading Accent 3"/>
    <w:basedOn w:val="32"/>
    <w:qFormat/>
    <w:uiPriority w:val="60"/>
    <w:pPr>
      <w:spacing w:after="0" w:line="240" w:lineRule="auto"/>
    </w:pPr>
    <w:rPr>
      <w:color w:val="77933C" w:themeColor="accent3" w:themeShade="BF"/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themeColor="accent3" w:sz="8" w:space="0"/>
          <w:left w:val="nil"/>
          <w:bottom w:val="single" w:color="9BBB59" w:themeColor="accent3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38">
    <w:name w:val="Light Shading Accent 4"/>
    <w:basedOn w:val="32"/>
    <w:qFormat/>
    <w:uiPriority w:val="60"/>
    <w:pPr>
      <w:spacing w:after="0" w:line="240" w:lineRule="auto"/>
    </w:pPr>
    <w:rPr>
      <w:color w:val="604A7B" w:themeColor="accent4" w:themeShade="BF"/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themeColor="accent4" w:sz="8" w:space="0"/>
          <w:left w:val="nil"/>
          <w:bottom w:val="single" w:color="8064A2" w:themeColor="accent4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39">
    <w:name w:val="Light Shading Accent 5"/>
    <w:basedOn w:val="32"/>
    <w:qFormat/>
    <w:uiPriority w:val="60"/>
    <w:pPr>
      <w:spacing w:after="0" w:line="240" w:lineRule="auto"/>
    </w:pPr>
    <w:rPr>
      <w:color w:val="31859C" w:themeColor="accent5" w:themeShade="BF"/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themeColor="accent5" w:sz="8" w:space="0"/>
          <w:left w:val="nil"/>
          <w:bottom w:val="single" w:color="4BACC6" w:themeColor="accent5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</w:style>
  <w:style w:type="table" w:styleId="40">
    <w:name w:val="Light Shading Accent 6"/>
    <w:basedOn w:val="32"/>
    <w:qFormat/>
    <w:uiPriority w:val="60"/>
    <w:pPr>
      <w:spacing w:after="0" w:line="240" w:lineRule="auto"/>
    </w:pPr>
    <w:rPr>
      <w:color w:val="E46C0A" w:themeColor="accent6" w:themeShade="BF"/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themeColor="accent6" w:sz="8" w:space="0"/>
          <w:left w:val="nil"/>
          <w:bottom w:val="single" w:color="F79646" w:themeColor="accent6" w:sz="8" w:space="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</w:style>
  <w:style w:type="table" w:styleId="41">
    <w:name w:val="Light List"/>
    <w:basedOn w:val="32"/>
    <w:qFormat/>
    <w:uiPriority w:val="61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styleId="42">
    <w:name w:val="Light List Accent 1"/>
    <w:basedOn w:val="32"/>
    <w:qFormat/>
    <w:uiPriority w:val="61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</w:style>
  <w:style w:type="table" w:styleId="43">
    <w:name w:val="Light List Accent 2"/>
    <w:basedOn w:val="32"/>
    <w:uiPriority w:val="61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</w:style>
  <w:style w:type="table" w:styleId="44">
    <w:name w:val="Light List Accent 3"/>
    <w:basedOn w:val="32"/>
    <w:qFormat/>
    <w:uiPriority w:val="61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</w:style>
  <w:style w:type="table" w:styleId="45">
    <w:name w:val="Light List Accent 4"/>
    <w:basedOn w:val="32"/>
    <w:qFormat/>
    <w:uiPriority w:val="61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</w:style>
  <w:style w:type="table" w:styleId="46">
    <w:name w:val="Light List Accent 5"/>
    <w:basedOn w:val="32"/>
    <w:qFormat/>
    <w:uiPriority w:val="61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</w:style>
  <w:style w:type="table" w:styleId="47">
    <w:name w:val="Light List Accent 6"/>
    <w:basedOn w:val="32"/>
    <w:qFormat/>
    <w:uiPriority w:val="61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</w:style>
  <w:style w:type="table" w:styleId="48">
    <w:name w:val="Light Grid"/>
    <w:basedOn w:val="32"/>
    <w:qFormat/>
    <w:uiPriority w:val="62"/>
    <w:pPr>
      <w:spacing w:after="0" w:line="240" w:lineRule="auto"/>
    </w:p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  <w:shd w:val="clear" w:color="auto" w:fill="BFBFBF" w:themeFill="text1" w:themeFillTint="3F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sz="8" w:space="0"/>
        </w:tcBorders>
      </w:tcPr>
    </w:tblStylePr>
  </w:style>
  <w:style w:type="table" w:styleId="49">
    <w:name w:val="Light Grid Accent 1"/>
    <w:basedOn w:val="32"/>
    <w:qFormat/>
    <w:uiPriority w:val="62"/>
    <w:pPr>
      <w:spacing w:after="0" w:line="240" w:lineRule="auto"/>
    </w:p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1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F81BD" w:themeColor="accent1" w:sz="6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</w:tcPr>
    </w:tblStylePr>
    <w:tblStylePr w:type="band1Vert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color="4F81BD" w:themeColor="accent1" w:sz="8" w:space="0"/>
          <w:left w:val="single" w:color="4F81BD" w:themeColor="accent1" w:sz="8" w:space="0"/>
          <w:bottom w:val="single" w:color="4F81BD" w:themeColor="accent1" w:sz="8" w:space="0"/>
          <w:right w:val="single" w:color="4F81BD" w:themeColor="accent1" w:sz="8" w:space="0"/>
          <w:insideV w:val="single" w:sz="8" w:space="0"/>
        </w:tcBorders>
      </w:tcPr>
    </w:tblStylePr>
  </w:style>
  <w:style w:type="table" w:styleId="50">
    <w:name w:val="Light Grid Accent 2"/>
    <w:basedOn w:val="32"/>
    <w:qFormat/>
    <w:uiPriority w:val="62"/>
    <w:pPr>
      <w:spacing w:after="0" w:line="240" w:lineRule="auto"/>
    </w:p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1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C0504D" w:themeColor="accent2" w:sz="6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</w:tcPr>
    </w:tblStylePr>
    <w:tblStylePr w:type="band1Vert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  <w:shd w:val="clear" w:color="auto" w:fill="EFD3D3" w:themeFill="accent2" w:themeFillTint="3F"/>
      </w:tcPr>
    </w:tblStylePr>
    <w:tblStylePr w:type="band2Horz">
      <w:tblPr/>
      <w:tcPr>
        <w:tcBorders>
          <w:top w:val="single" w:color="C0504D" w:themeColor="accent2" w:sz="8" w:space="0"/>
          <w:left w:val="single" w:color="C0504D" w:themeColor="accent2" w:sz="8" w:space="0"/>
          <w:bottom w:val="single" w:color="C0504D" w:themeColor="accent2" w:sz="8" w:space="0"/>
          <w:right w:val="single" w:color="C0504D" w:themeColor="accent2" w:sz="8" w:space="0"/>
          <w:insideV w:val="single" w:sz="8" w:space="0"/>
        </w:tcBorders>
      </w:tcPr>
    </w:tblStylePr>
  </w:style>
  <w:style w:type="table" w:styleId="51">
    <w:name w:val="Light Grid Accent 3"/>
    <w:basedOn w:val="32"/>
    <w:uiPriority w:val="62"/>
    <w:pPr>
      <w:spacing w:after="0" w:line="240" w:lineRule="auto"/>
    </w:p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1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9BBB59" w:themeColor="accent3" w:sz="6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</w:tcPr>
    </w:tblStylePr>
    <w:tblStylePr w:type="band1Vert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color="9BBB59" w:themeColor="accent3" w:sz="8" w:space="0"/>
          <w:left w:val="single" w:color="9BBB59" w:themeColor="accent3" w:sz="8" w:space="0"/>
          <w:bottom w:val="single" w:color="9BBB59" w:themeColor="accent3" w:sz="8" w:space="0"/>
          <w:right w:val="single" w:color="9BBB59" w:themeColor="accent3" w:sz="8" w:space="0"/>
          <w:insideV w:val="single" w:sz="8" w:space="0"/>
        </w:tcBorders>
      </w:tcPr>
    </w:tblStylePr>
  </w:style>
  <w:style w:type="table" w:styleId="52">
    <w:name w:val="Light Grid Accent 4"/>
    <w:basedOn w:val="32"/>
    <w:qFormat/>
    <w:uiPriority w:val="62"/>
    <w:pPr>
      <w:spacing w:after="0" w:line="240" w:lineRule="auto"/>
    </w:p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1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8064A2" w:themeColor="accent4" w:sz="6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</w:tcPr>
    </w:tblStylePr>
    <w:tblStylePr w:type="band1Vert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color="8064A2" w:themeColor="accent4" w:sz="8" w:space="0"/>
          <w:left w:val="single" w:color="8064A2" w:themeColor="accent4" w:sz="8" w:space="0"/>
          <w:bottom w:val="single" w:color="8064A2" w:themeColor="accent4" w:sz="8" w:space="0"/>
          <w:right w:val="single" w:color="8064A2" w:themeColor="accent4" w:sz="8" w:space="0"/>
          <w:insideV w:val="single" w:sz="8" w:space="0"/>
        </w:tcBorders>
      </w:tcPr>
    </w:tblStylePr>
  </w:style>
  <w:style w:type="table" w:styleId="53">
    <w:name w:val="Light Grid Accent 5"/>
    <w:basedOn w:val="32"/>
    <w:qFormat/>
    <w:uiPriority w:val="62"/>
    <w:pPr>
      <w:spacing w:after="0" w:line="240" w:lineRule="auto"/>
    </w:p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1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4BACC6" w:themeColor="accent5" w:sz="6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</w:tcPr>
    </w:tblStylePr>
    <w:tblStylePr w:type="band1Vert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  <w:shd w:val="clear" w:color="auto" w:fill="D2EAF0" w:themeFill="accent5" w:themeFillTint="3F"/>
      </w:tcPr>
    </w:tblStylePr>
    <w:tblStylePr w:type="band2Horz">
      <w:tblPr/>
      <w:tcPr>
        <w:tcBorders>
          <w:top w:val="single" w:color="4BACC6" w:themeColor="accent5" w:sz="8" w:space="0"/>
          <w:left w:val="single" w:color="4BACC6" w:themeColor="accent5" w:sz="8" w:space="0"/>
          <w:bottom w:val="single" w:color="4BACC6" w:themeColor="accent5" w:sz="8" w:space="0"/>
          <w:right w:val="single" w:color="4BACC6" w:themeColor="accent5" w:sz="8" w:space="0"/>
          <w:insideV w:val="single" w:sz="8" w:space="0"/>
        </w:tcBorders>
      </w:tcPr>
    </w:tblStylePr>
  </w:style>
  <w:style w:type="table" w:styleId="54">
    <w:name w:val="Light Grid Accent 6"/>
    <w:basedOn w:val="32"/>
    <w:qFormat/>
    <w:uiPriority w:val="62"/>
    <w:pPr>
      <w:spacing w:after="0" w:line="240" w:lineRule="auto"/>
    </w:p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1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F79646" w:themeColor="accent6" w:sz="6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</w:tcPr>
    </w:tblStylePr>
    <w:tblStylePr w:type="band1Vert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  <w:shd w:val="clear" w:color="auto" w:fill="FDE5D1" w:themeFill="accent6" w:themeFillTint="3F"/>
      </w:tcPr>
    </w:tblStylePr>
    <w:tblStylePr w:type="band2Horz">
      <w:tblPr/>
      <w:tcPr>
        <w:tcBorders>
          <w:top w:val="single" w:color="F79646" w:themeColor="accent6" w:sz="8" w:space="0"/>
          <w:left w:val="single" w:color="F79646" w:themeColor="accent6" w:sz="8" w:space="0"/>
          <w:bottom w:val="single" w:color="F79646" w:themeColor="accent6" w:sz="8" w:space="0"/>
          <w:right w:val="single" w:color="F79646" w:themeColor="accent6" w:sz="8" w:space="0"/>
          <w:insideV w:val="single" w:sz="8" w:space="0"/>
        </w:tcBorders>
      </w:tcPr>
    </w:tblStylePr>
  </w:style>
  <w:style w:type="table" w:styleId="55">
    <w:name w:val="Medium Shading 1"/>
    <w:basedOn w:val="32"/>
    <w:uiPriority w:val="63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3F3F3F" w:themeColor="text1" w:themeTint="BF" w:sz="8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3F3F3F" w:themeColor="text1" w:themeTint="BF" w:sz="6" w:space="0"/>
          <w:left w:val="single" w:color="3F3F3F" w:themeColor="text1" w:themeTint="BF" w:sz="8" w:space="0"/>
          <w:bottom w:val="single" w:color="3F3F3F" w:themeColor="text1" w:themeTint="BF" w:sz="8" w:space="0"/>
          <w:right w:val="single" w:color="3F3F3F" w:themeColor="tex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FBFBF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6">
    <w:name w:val="Medium Shading 1 Accent 1"/>
    <w:basedOn w:val="32"/>
    <w:qFormat/>
    <w:uiPriority w:val="63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BA0CD" w:themeColor="accent1" w:themeTint="BF" w:sz="8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themeColor="accent1" w:themeTint="BF" w:sz="6" w:space="0"/>
          <w:left w:val="single" w:color="7BA0CD" w:themeColor="accent1" w:themeTint="BF" w:sz="8" w:space="0"/>
          <w:bottom w:val="single" w:color="7BA0CD" w:themeColor="accent1" w:themeTint="BF" w:sz="8" w:space="0"/>
          <w:right w:val="single" w:color="7BA0CD" w:themeColor="accent1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7">
    <w:name w:val="Medium Shading 1 Accent 2"/>
    <w:basedOn w:val="32"/>
    <w:qFormat/>
    <w:uiPriority w:val="63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CF7B79" w:themeColor="accent2" w:themeTint="BF" w:sz="8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themeColor="accent2" w:themeTint="BF" w:sz="6" w:space="0"/>
          <w:left w:val="single" w:color="CF7B79" w:themeColor="accent2" w:themeTint="BF" w:sz="8" w:space="0"/>
          <w:bottom w:val="single" w:color="CF7B79" w:themeColor="accent2" w:themeTint="BF" w:sz="8" w:space="0"/>
          <w:right w:val="single" w:color="CF7B79" w:themeColor="accent2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1 Accent 3"/>
    <w:basedOn w:val="32"/>
    <w:qFormat/>
    <w:uiPriority w:val="63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B4CC82" w:themeColor="accent3" w:themeTint="BF" w:sz="8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4CC82" w:themeColor="accent3" w:themeTint="BF" w:sz="6" w:space="0"/>
          <w:left w:val="single" w:color="B4CC82" w:themeColor="accent3" w:themeTint="BF" w:sz="8" w:space="0"/>
          <w:bottom w:val="single" w:color="B4CC82" w:themeColor="accent3" w:themeTint="BF" w:sz="8" w:space="0"/>
          <w:right w:val="single" w:color="B4CC82" w:themeColor="accent3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9">
    <w:name w:val="Medium Shading 1 Accent 4"/>
    <w:basedOn w:val="32"/>
    <w:qFormat/>
    <w:uiPriority w:val="63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9F8AB9" w:themeColor="accent4" w:themeTint="BF" w:sz="8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themeColor="accent4" w:themeTint="BF" w:sz="6" w:space="0"/>
          <w:left w:val="single" w:color="9F8AB9" w:themeColor="accent4" w:themeTint="BF" w:sz="8" w:space="0"/>
          <w:bottom w:val="single" w:color="9F8AB9" w:themeColor="accent4" w:themeTint="BF" w:sz="8" w:space="0"/>
          <w:right w:val="single" w:color="9F8AB9" w:themeColor="accent4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0">
    <w:name w:val="Medium Shading 1 Accent 5"/>
    <w:basedOn w:val="32"/>
    <w:qFormat/>
    <w:uiPriority w:val="63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78C0D4" w:themeColor="accent5" w:themeTint="BF" w:sz="8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themeColor="accent5" w:themeTint="BF" w:sz="6" w:space="0"/>
          <w:left w:val="single" w:color="78C0D4" w:themeColor="accent5" w:themeTint="BF" w:sz="8" w:space="0"/>
          <w:bottom w:val="single" w:color="78C0D4" w:themeColor="accent5" w:themeTint="BF" w:sz="8" w:space="0"/>
          <w:right w:val="single" w:color="78C0D4" w:themeColor="accent5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1">
    <w:name w:val="Medium Shading 1 Accent 6"/>
    <w:basedOn w:val="32"/>
    <w:qFormat/>
    <w:uiPriority w:val="63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9B074" w:themeColor="accent6" w:themeTint="BF" w:sz="8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themeColor="accent6" w:themeTint="BF" w:sz="6" w:space="0"/>
          <w:left w:val="single" w:color="F9B074" w:themeColor="accent6" w:themeTint="BF" w:sz="8" w:space="0"/>
          <w:bottom w:val="single" w:color="F9B074" w:themeColor="accent6" w:themeTint="BF" w:sz="8" w:space="0"/>
          <w:right w:val="single" w:color="F9B074" w:themeColor="accent6" w:themeTint="BF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5D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62">
    <w:name w:val="Medium Shading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3">
    <w:name w:val="Medium Shading 2 Accent 1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4">
    <w:name w:val="Medium Shading 2 Accent 2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5">
    <w:name w:val="Medium Shading 2 Accent 3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6">
    <w:name w:val="Medium Shading 2 Accent 4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7">
    <w:name w:val="Medium Shading 2 Accent 5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8">
    <w:name w:val="Medium Shading 2 Accent 6"/>
    <w:basedOn w:val="32"/>
    <w:qFormat/>
    <w:uiPriority w:val="64"/>
    <w:pPr>
      <w:spacing w:after="0" w:line="240" w:lineRule="auto"/>
    </w:pPr>
    <w:tblPr>
      <w:tblBorders>
        <w:top w:val="single" w:color="auto" w:sz="18" w:space="0"/>
        <w:bottom w:val="single" w:color="auto" w:sz="1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single" w:color="auto" w:sz="18" w:space="0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7" w:themeFill="background1" w:themeFillShade="D8"/>
      </w:tcPr>
    </w:tblStylePr>
    <w:tblStylePr w:type="band1Horz">
      <w:tblPr/>
      <w:tcPr>
        <w:shd w:val="clear" w:color="auto" w:fill="D7D7D7" w:themeFill="background1" w:themeFillShade="D8"/>
      </w:tcPr>
    </w:tblStylePr>
    <w:tblStylePr w:type="neCell"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auto" w:sz="18" w:space="0"/>
          <w:left w:val="nil"/>
          <w:bottom w:val="single" w:color="auto" w:sz="18" w:space="0"/>
          <w:right w:val="nil"/>
          <w:insideH w:val="nil"/>
          <w:insideV w:val="nil"/>
        </w:tcBorders>
      </w:tcPr>
    </w:tblStylePr>
  </w:style>
  <w:style w:type="table" w:styleId="69">
    <w:name w:val="Medium Lis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bottom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000000" w:themeColor="tex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themeColor="text1" w:sz="8" w:space="0"/>
          <w:bottom w:val="single" w:color="000000" w:themeColor="text1" w:sz="8" w:space="0"/>
        </w:tcBorders>
      </w:tcPr>
    </w:tblStylePr>
    <w:tblStylePr w:type="band1Vert">
      <w:tblPr/>
      <w:tcPr>
        <w:shd w:val="clear" w:color="auto" w:fill="BFBFBF" w:themeFill="text1" w:themeFillTint="3F"/>
      </w:tcPr>
    </w:tblStylePr>
    <w:tblStylePr w:type="band1Horz">
      <w:tblPr/>
      <w:tcPr>
        <w:shd w:val="clear" w:color="auto" w:fill="BFBFBF" w:themeFill="text1" w:themeFillTint="3F"/>
      </w:tcPr>
    </w:tblStylePr>
  </w:style>
  <w:style w:type="table" w:styleId="70">
    <w:name w:val="Medium List 1 Accent 1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bottom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F81BD" w:themeColor="accent1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themeColor="accent1" w:sz="8" w:space="0"/>
          <w:bottom w:val="single" w:color="4F81BD" w:themeColor="accent1" w:sz="8" w:space="0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71">
    <w:name w:val="Medium List 1 Accent 2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bottom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C0504D" w:themeColor="accent2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themeColor="accent2" w:sz="8" w:space="0"/>
          <w:bottom w:val="single" w:color="C0504D" w:themeColor="accent2" w:sz="8" w:space="0"/>
        </w:tcBorders>
      </w:tcPr>
    </w:tblStylePr>
    <w:tblStylePr w:type="band1Vert">
      <w:tblPr/>
      <w:tcPr>
        <w:shd w:val="clear" w:color="auto" w:fill="EFD3D3" w:themeFill="accent2" w:themeFillTint="3F"/>
      </w:tcPr>
    </w:tblStylePr>
    <w:tblStylePr w:type="band1Horz">
      <w:tblPr/>
      <w:tcPr>
        <w:shd w:val="clear" w:color="auto" w:fill="EFD3D3" w:themeFill="accent2" w:themeFillTint="3F"/>
      </w:tcPr>
    </w:tblStylePr>
  </w:style>
  <w:style w:type="table" w:styleId="72">
    <w:name w:val="Medium List 1 Accent 3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bottom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9BBB59" w:themeColor="accent3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themeColor="accent3" w:sz="8" w:space="0"/>
          <w:bottom w:val="single" w:color="9BBB59" w:themeColor="accent3" w:sz="8" w:space="0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73">
    <w:name w:val="Medium List 1 Accent 4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bottom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8064A2" w:themeColor="accent4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themeColor="accent4" w:sz="8" w:space="0"/>
          <w:bottom w:val="single" w:color="8064A2" w:themeColor="accent4" w:sz="8" w:space="0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74">
    <w:name w:val="Medium List 1 Accent 5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bottom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4BACC6" w:themeColor="accent5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themeColor="accent5" w:sz="8" w:space="0"/>
          <w:bottom w:val="single" w:color="4BACC6" w:themeColor="accent5" w:sz="8" w:space="0"/>
        </w:tcBorders>
      </w:tcPr>
    </w:tblStylePr>
    <w:tblStylePr w:type="band1Vert">
      <w:tblPr/>
      <w:tcPr>
        <w:shd w:val="clear" w:color="auto" w:fill="D2EAF0" w:themeFill="accent5" w:themeFillTint="3F"/>
      </w:tcPr>
    </w:tblStylePr>
    <w:tblStylePr w:type="band1Horz">
      <w:tblPr/>
      <w:tcPr>
        <w:shd w:val="clear" w:color="auto" w:fill="D2EAF0" w:themeFill="accent5" w:themeFillTint="3F"/>
      </w:tcPr>
    </w:tblStylePr>
  </w:style>
  <w:style w:type="table" w:styleId="75">
    <w:name w:val="Medium List 1 Accent 6"/>
    <w:basedOn w:val="32"/>
    <w:qFormat/>
    <w:uiPriority w:val="65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bottom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hAnsiTheme="majorHAnsi" w:eastAsiaTheme="majorEastAsia" w:cstheme="majorBidi"/>
      </w:rPr>
      <w:tblPr/>
      <w:tcPr>
        <w:tcBorders>
          <w:top w:val="nil"/>
          <w:bottom w:val="single" w:color="F79646" w:themeColor="accent6" w:sz="8" w:space="0"/>
        </w:tcBorders>
      </w:tcPr>
    </w:tblStylePr>
    <w:tblStylePr w:type="lastRow">
      <w:rPr>
        <w:b/>
        <w:bCs/>
        <w:color w:val="1F497D" w:themeColor="text2"/>
        <w14:textFill>
          <w14:solidFill>
            <w14:schemeClr w14:val="tx2"/>
          </w14:solidFill>
        </w14:textFill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themeColor="accent6" w:sz="8" w:space="0"/>
          <w:bottom w:val="single" w:color="F79646" w:themeColor="accent6" w:sz="8" w:space="0"/>
        </w:tcBorders>
      </w:tcPr>
    </w:tblStylePr>
    <w:tblStylePr w:type="band1Vert">
      <w:tblPr/>
      <w:tcPr>
        <w:shd w:val="clear" w:color="auto" w:fill="FDE5D1" w:themeFill="accent6" w:themeFillTint="3F"/>
      </w:tcPr>
    </w:tblStylePr>
    <w:tblStylePr w:type="band1Horz">
      <w:tblPr/>
      <w:tcPr>
        <w:shd w:val="clear" w:color="auto" w:fill="FDE5D1" w:themeFill="accent6" w:themeFillTint="3F"/>
      </w:tcPr>
    </w:tblStylePr>
  </w:style>
  <w:style w:type="table" w:styleId="76">
    <w:name w:val="Medium Lis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000000" w:themeColor="tex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000000" w:themeColor="tex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themeColor="tex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000000" w:themeColor="tex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FBFBF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1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F81BD" w:themeColor="accent1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F81BD" w:themeColor="accent1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themeColor="accent1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F81BD" w:themeColor="accent1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2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C0504D" w:themeColor="accent2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themeColor="accent2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C0504D" w:themeColor="accent2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3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9BBB59" w:themeColor="accent3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themeColor="accent3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9BBB59" w:themeColor="accent3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0">
    <w:name w:val="Medium List 2 Accent 4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8064A2" w:themeColor="accent4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themeColor="accent4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8064A2" w:themeColor="accent4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1">
    <w:name w:val="Medium List 2 Accent 5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4BACC6" w:themeColor="accent5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themeColor="accent5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4BACC6" w:themeColor="accent5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2">
    <w:name w:val="Medium List 2 Accent 6"/>
    <w:basedOn w:val="32"/>
    <w:qFormat/>
    <w:uiPriority w:val="66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color="F79646" w:themeColor="accent6" w:sz="8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themeColor="accent6" w:sz="8" w:space="0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color="F79646" w:themeColor="accent6" w:sz="8" w:space="0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5D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83">
    <w:name w:val="Medium Grid 1"/>
    <w:basedOn w:val="32"/>
    <w:qFormat/>
    <w:uiPriority w:val="67"/>
    <w:pPr>
      <w:spacing w:after="0" w:line="240" w:lineRule="auto"/>
    </w:pPr>
    <w:tblPr>
      <w:tblBorders>
        <w:top w:val="single" w:color="3F3F3F" w:themeColor="text1" w:themeTint="BF" w:sz="8" w:space="0"/>
        <w:left w:val="single" w:color="3F3F3F" w:themeColor="text1" w:themeTint="BF" w:sz="8" w:space="0"/>
        <w:bottom w:val="single" w:color="3F3F3F" w:themeColor="text1" w:themeTint="BF" w:sz="8" w:space="0"/>
        <w:right w:val="single" w:color="3F3F3F" w:themeColor="text1" w:themeTint="BF" w:sz="8" w:space="0"/>
        <w:insideH w:val="single" w:color="3F3F3F" w:themeColor="text1" w:themeTint="BF" w:sz="8" w:space="0"/>
        <w:insideV w:val="single" w:color="3F3F3F" w:themeColor="tex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3F3F3F" w:themeColor="tex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84">
    <w:name w:val="Medium Grid 1 Accent 1"/>
    <w:basedOn w:val="32"/>
    <w:qFormat/>
    <w:uiPriority w:val="67"/>
    <w:pPr>
      <w:spacing w:after="0" w:line="240" w:lineRule="auto"/>
    </w:pPr>
    <w:tblPr>
      <w:tblBorders>
        <w:top w:val="single" w:color="7BA0CD" w:themeColor="accent1" w:themeTint="BF" w:sz="8" w:space="0"/>
        <w:left w:val="single" w:color="7BA0CD" w:themeColor="accent1" w:themeTint="BF" w:sz="8" w:space="0"/>
        <w:bottom w:val="single" w:color="7BA0CD" w:themeColor="accent1" w:themeTint="BF" w:sz="8" w:space="0"/>
        <w:right w:val="single" w:color="7BA0CD" w:themeColor="accent1" w:themeTint="BF" w:sz="8" w:space="0"/>
        <w:insideH w:val="single" w:color="7BA0CD" w:themeColor="accent1" w:themeTint="BF" w:sz="8" w:space="0"/>
        <w:insideV w:val="single" w:color="7BA0CD" w:themeColor="accent1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themeColor="accent1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85">
    <w:name w:val="Medium Grid 1 Accent 2"/>
    <w:basedOn w:val="32"/>
    <w:qFormat/>
    <w:uiPriority w:val="67"/>
    <w:pPr>
      <w:spacing w:after="0" w:line="240" w:lineRule="auto"/>
    </w:pPr>
    <w:tblPr>
      <w:tblBorders>
        <w:top w:val="single" w:color="CF7B79" w:themeColor="accent2" w:themeTint="BF" w:sz="8" w:space="0"/>
        <w:left w:val="single" w:color="CF7B79" w:themeColor="accent2" w:themeTint="BF" w:sz="8" w:space="0"/>
        <w:bottom w:val="single" w:color="CF7B79" w:themeColor="accent2" w:themeTint="BF" w:sz="8" w:space="0"/>
        <w:right w:val="single" w:color="CF7B79" w:themeColor="accent2" w:themeTint="BF" w:sz="8" w:space="0"/>
        <w:insideH w:val="single" w:color="CF7B79" w:themeColor="accent2" w:themeTint="BF" w:sz="8" w:space="0"/>
        <w:insideV w:val="single" w:color="CF7B79" w:themeColor="accent2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themeColor="accent2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86">
    <w:name w:val="Medium Grid 1 Accent 3"/>
    <w:basedOn w:val="32"/>
    <w:qFormat/>
    <w:uiPriority w:val="67"/>
    <w:pPr>
      <w:spacing w:after="0" w:line="240" w:lineRule="auto"/>
    </w:pPr>
    <w:tblPr>
      <w:tblBorders>
        <w:top w:val="single" w:color="B4CC82" w:themeColor="accent3" w:themeTint="BF" w:sz="8" w:space="0"/>
        <w:left w:val="single" w:color="B4CC82" w:themeColor="accent3" w:themeTint="BF" w:sz="8" w:space="0"/>
        <w:bottom w:val="single" w:color="B4CC82" w:themeColor="accent3" w:themeTint="BF" w:sz="8" w:space="0"/>
        <w:right w:val="single" w:color="B4CC82" w:themeColor="accent3" w:themeTint="BF" w:sz="8" w:space="0"/>
        <w:insideH w:val="single" w:color="B4CC82" w:themeColor="accent3" w:themeTint="BF" w:sz="8" w:space="0"/>
        <w:insideV w:val="single" w:color="B4CC82" w:themeColor="accent3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4CC82" w:themeColor="accent3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87">
    <w:name w:val="Medium Grid 1 Accent 4"/>
    <w:basedOn w:val="32"/>
    <w:qFormat/>
    <w:uiPriority w:val="67"/>
    <w:pPr>
      <w:spacing w:after="0" w:line="240" w:lineRule="auto"/>
    </w:pPr>
    <w:tblPr>
      <w:tblBorders>
        <w:top w:val="single" w:color="9F8AB9" w:themeColor="accent4" w:themeTint="BF" w:sz="8" w:space="0"/>
        <w:left w:val="single" w:color="9F8AB9" w:themeColor="accent4" w:themeTint="BF" w:sz="8" w:space="0"/>
        <w:bottom w:val="single" w:color="9F8AB9" w:themeColor="accent4" w:themeTint="BF" w:sz="8" w:space="0"/>
        <w:right w:val="single" w:color="9F8AB9" w:themeColor="accent4" w:themeTint="BF" w:sz="8" w:space="0"/>
        <w:insideH w:val="single" w:color="9F8AB9" w:themeColor="accent4" w:themeTint="BF" w:sz="8" w:space="0"/>
        <w:insideV w:val="single" w:color="9F8AB9" w:themeColor="accent4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themeColor="accent4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88">
    <w:name w:val="Medium Grid 1 Accent 5"/>
    <w:basedOn w:val="32"/>
    <w:qFormat/>
    <w:uiPriority w:val="67"/>
    <w:pPr>
      <w:spacing w:after="0" w:line="240" w:lineRule="auto"/>
    </w:pPr>
    <w:tblPr>
      <w:tblBorders>
        <w:top w:val="single" w:color="78C0D4" w:themeColor="accent5" w:themeTint="BF" w:sz="8" w:space="0"/>
        <w:left w:val="single" w:color="78C0D4" w:themeColor="accent5" w:themeTint="BF" w:sz="8" w:space="0"/>
        <w:bottom w:val="single" w:color="78C0D4" w:themeColor="accent5" w:themeTint="BF" w:sz="8" w:space="0"/>
        <w:right w:val="single" w:color="78C0D4" w:themeColor="accent5" w:themeTint="BF" w:sz="8" w:space="0"/>
        <w:insideH w:val="single" w:color="78C0D4" w:themeColor="accent5" w:themeTint="BF" w:sz="8" w:space="0"/>
        <w:insideV w:val="single" w:color="78C0D4" w:themeColor="accent5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themeColor="accent5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89">
    <w:name w:val="Medium Grid 1 Accent 6"/>
    <w:basedOn w:val="32"/>
    <w:qFormat/>
    <w:uiPriority w:val="67"/>
    <w:pPr>
      <w:spacing w:after="0" w:line="240" w:lineRule="auto"/>
    </w:pPr>
    <w:tblPr>
      <w:tblBorders>
        <w:top w:val="single" w:color="F9B074" w:themeColor="accent6" w:themeTint="BF" w:sz="8" w:space="0"/>
        <w:left w:val="single" w:color="F9B074" w:themeColor="accent6" w:themeTint="BF" w:sz="8" w:space="0"/>
        <w:bottom w:val="single" w:color="F9B074" w:themeColor="accent6" w:themeTint="BF" w:sz="8" w:space="0"/>
        <w:right w:val="single" w:color="F9B074" w:themeColor="accent6" w:themeTint="BF" w:sz="8" w:space="0"/>
        <w:insideH w:val="single" w:color="F9B074" w:themeColor="accent6" w:themeTint="BF" w:sz="8" w:space="0"/>
        <w:insideV w:val="single" w:color="F9B074" w:themeColor="accent6" w:themeTint="BF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themeColor="accent6" w:themeTint="BF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90">
    <w:name w:val="Medium Grid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E5E5" w:themeFill="tex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7F7F7F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1">
    <w:name w:val="Medium Grid 2 Accent 1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F81BD" w:themeColor="accent1" w:sz="8" w:space="0"/>
        <w:left w:val="single" w:color="4F81BD" w:themeColor="accent1" w:sz="8" w:space="0"/>
        <w:bottom w:val="single" w:color="4F81BD" w:themeColor="accent1" w:sz="8" w:space="0"/>
        <w:right w:val="single" w:color="4F81BD" w:themeColor="accent1" w:sz="8" w:space="0"/>
        <w:insideH w:val="single" w:color="4F81BD" w:themeColor="accent1" w:sz="8" w:space="0"/>
        <w:insideV w:val="single" w:color="4F81BD" w:themeColor="accent1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C0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2">
    <w:name w:val="Medium Grid 2 Accent 2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8" w:space="0"/>
        <w:left w:val="single" w:color="C0504D" w:themeColor="accent2" w:sz="8" w:space="0"/>
        <w:bottom w:val="single" w:color="C0504D" w:themeColor="accent2" w:sz="8" w:space="0"/>
        <w:right w:val="single" w:color="C0504D" w:themeColor="accent2" w:sz="8" w:space="0"/>
        <w:insideH w:val="single" w:color="C0504D" w:themeColor="accent2" w:sz="8" w:space="0"/>
        <w:insideV w:val="single" w:color="C0504D" w:themeColor="accent2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3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8" w:space="0"/>
        <w:left w:val="single" w:color="9BBB59" w:themeColor="accent3" w:sz="8" w:space="0"/>
        <w:bottom w:val="single" w:color="9BBB59" w:themeColor="accent3" w:sz="8" w:space="0"/>
        <w:right w:val="single" w:color="9BBB59" w:themeColor="accent3" w:sz="8" w:space="0"/>
        <w:insideH w:val="single" w:color="9BBB59" w:themeColor="accent3" w:sz="8" w:space="0"/>
        <w:insideV w:val="single" w:color="9BBB59" w:themeColor="accent3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4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8" w:space="0"/>
        <w:left w:val="single" w:color="8064A2" w:themeColor="accent4" w:sz="8" w:space="0"/>
        <w:bottom w:val="single" w:color="8064A2" w:themeColor="accent4" w:sz="8" w:space="0"/>
        <w:right w:val="single" w:color="8064A2" w:themeColor="accent4" w:sz="8" w:space="0"/>
        <w:insideH w:val="single" w:color="8064A2" w:themeColor="accent4" w:sz="8" w:space="0"/>
        <w:insideV w:val="single" w:color="8064A2" w:themeColor="accent4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2EFF5" w:themeFill="accent4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5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8" w:space="0"/>
        <w:left w:val="single" w:color="4BACC6" w:themeColor="accent5" w:sz="8" w:space="0"/>
        <w:bottom w:val="single" w:color="4BACC6" w:themeColor="accent5" w:sz="8" w:space="0"/>
        <w:right w:val="single" w:color="4BACC6" w:themeColor="accent5" w:sz="8" w:space="0"/>
        <w:insideH w:val="single" w:color="4BACC6" w:themeColor="accent5" w:sz="8" w:space="0"/>
        <w:insideV w:val="single" w:color="4BACC6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6"/>
    <w:basedOn w:val="32"/>
    <w:qFormat/>
    <w:uiPriority w:val="68"/>
    <w:pPr>
      <w:spacing w:after="0" w:line="240" w:lineRule="auto"/>
    </w:pPr>
    <w:rPr>
      <w:rFonts w:asciiTheme="majorHAnsi" w:hAnsiTheme="majorHAnsi" w:eastAsiaTheme="majorEastAsia" w:cstheme="majorBidi"/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8" w:space="0"/>
        <w:left w:val="single" w:color="F79646" w:themeColor="accent6" w:sz="8" w:space="0"/>
        <w:bottom w:val="single" w:color="F79646" w:themeColor="accent6" w:sz="8" w:space="0"/>
        <w:right w:val="single" w:color="F79646" w:themeColor="accent6" w:sz="8" w:space="0"/>
        <w:insideH w:val="single" w:color="F79646" w:themeColor="accent6" w:sz="8" w:space="0"/>
        <w:insideV w:val="single" w:color="F79646" w:themeColor="accent6" w:sz="8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single" w:color="000000" w:themeColor="text1" w:sz="12" w:space="0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  <w14:textFill>
          <w14:solidFill>
            <w14:schemeClr w14:val="tx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FBFBF" w:themeFill="tex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7F7F7F" w:themeFill="tex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7F7F7F" w:themeFill="text1" w:themeFillTint="7F"/>
      </w:tcPr>
    </w:tblStylePr>
  </w:style>
  <w:style w:type="table" w:styleId="98">
    <w:name w:val="Medium Grid 3 Accent 1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7C0DE" w:themeFill="accent1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7C0DE" w:themeFill="accent1" w:themeFillTint="7F"/>
      </w:tcPr>
    </w:tblStylePr>
  </w:style>
  <w:style w:type="table" w:styleId="99">
    <w:name w:val="Medium Grid 3 Accent 2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3" w:themeFill="accent2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DFA7A6" w:themeFill="accent2" w:themeFillTint="7F"/>
      </w:tcPr>
    </w:tblStylePr>
  </w:style>
  <w:style w:type="table" w:styleId="100">
    <w:name w:val="Medium Grid 3 Accent 3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CDDDAC" w:themeFill="accent3" w:themeFillTint="7F"/>
      </w:tcPr>
    </w:tblStylePr>
  </w:style>
  <w:style w:type="table" w:styleId="101">
    <w:name w:val="Medium Grid 3 Accent 4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BFB1D0" w:themeFill="accent4" w:themeFillTint="7F"/>
      </w:tcPr>
    </w:tblStylePr>
  </w:style>
  <w:style w:type="table" w:styleId="102">
    <w:name w:val="Medium Grid 3 Accent 5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0" w:themeFill="accent5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A5D5E2" w:themeFill="accent5" w:themeFillTint="7F"/>
      </w:tcPr>
    </w:tblStylePr>
  </w:style>
  <w:style w:type="table" w:styleId="103">
    <w:name w:val="Medium Grid 3 Accent 6"/>
    <w:basedOn w:val="32"/>
    <w:qFormat/>
    <w:uiPriority w:val="69"/>
    <w:pPr>
      <w:spacing w:after="0" w:line="240" w:lineRule="auto"/>
    </w:pPr>
    <w:tblPr>
      <w:tblBorders>
        <w:top w:val="single" w:color="FFFFFF" w:themeColor="background1" w:sz="8" w:space="0"/>
        <w:left w:val="single" w:color="FFFFFF" w:themeColor="background1" w:sz="8" w:space="0"/>
        <w:bottom w:val="single" w:color="FFFFFF" w:themeColor="background1" w:sz="8" w:space="0"/>
        <w:right w:val="single" w:color="FFFFFF" w:themeColor="background1" w:sz="8" w:space="0"/>
        <w:insideH w:val="single" w:color="FFFFFF" w:themeColor="background1" w:sz="6" w:space="0"/>
        <w:insideV w:val="single" w:color="FFFFFF" w:themeColor="backgroun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5D1" w:themeFill="accent6" w:themeFillTint="3F"/>
    </w:tcPr>
    <w:tblStylePr w:type="fir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24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24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single" w:sz="8" w:space="0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left w:val="single" w:color="FFFFFF" w:themeColor="background1" w:sz="8" w:space="0"/>
          <w:right w:val="single" w:color="FFFFFF" w:themeColor="background1" w:sz="24" w:space="0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single" w:color="FFFFFF" w:themeColor="background1" w:sz="24" w:space="0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sz="8" w:space="0"/>
          <w:insideV w:val="single" w:sz="8" w:space="0"/>
        </w:tcBorders>
        <w:shd w:val="clear" w:color="auto" w:fill="FBCAA2" w:themeFill="accent6" w:themeFillTint="7F"/>
      </w:tcPr>
    </w:tblStylePr>
  </w:style>
  <w:style w:type="table" w:styleId="104">
    <w:name w:val="Dark List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05">
    <w:name w:val="Dark List Accent 1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43F6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66091" w:themeFill="accent1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6091" w:themeFill="accent1" w:themeFillShade="BF"/>
      </w:tcPr>
    </w:tblStylePr>
  </w:style>
  <w:style w:type="table" w:styleId="106">
    <w:name w:val="Dark List Accent 2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943734" w:themeFill="accent2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734" w:themeFill="accent2" w:themeFillShade="BF"/>
      </w:tcPr>
    </w:tblStylePr>
  </w:style>
  <w:style w:type="table" w:styleId="107">
    <w:name w:val="Dark List Accent 3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4E612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108">
    <w:name w:val="Dark List Accent 4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3F30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109">
    <w:name w:val="Dark List Accent 5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110">
    <w:name w:val="Dark List Accent 6"/>
    <w:basedOn w:val="32"/>
    <w:qFormat/>
    <w:uiPriority w:val="70"/>
    <w:pPr>
      <w:spacing w:after="0" w:line="240" w:lineRule="auto"/>
    </w:pPr>
    <w:rPr>
      <w:color w:val="FFFFFF" w:themeColor="background1"/>
      <w14:textFill>
        <w14:solidFill>
          <w14:schemeClr w14:val="bg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color="FFFFFF" w:themeColor="background1" w:sz="18" w:space="0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color="FFFFFF" w:themeColor="background1" w:sz="18" w:space="0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themeColor="background1" w:sz="18" w:space="0"/>
          <w:insideH w:val="nil"/>
          <w:insideV w:val="nil"/>
        </w:tcBorders>
        <w:shd w:val="clear" w:color="auto" w:fill="E36C09" w:themeFill="accent6" w:themeFillShade="BF"/>
      </w:tcPr>
    </w:tblStylePr>
    <w:tblStylePr w:type="lastCol">
      <w:tblPr/>
      <w:tcPr>
        <w:tcBorders>
          <w:top w:val="nil"/>
          <w:left w:val="single" w:color="FFFFFF" w:themeColor="background1" w:sz="18" w:space="0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9" w:themeFill="accent6" w:themeFillShade="BF"/>
      </w:tcPr>
    </w:tblStylePr>
  </w:style>
  <w:style w:type="table" w:styleId="111">
    <w:name w:val="Colorful Shading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7F7F7F" w:themeFill="tex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2">
    <w:name w:val="Colorful Shading Accent 1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B4D74" w:themeFill="accent1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B4D74" w:themeFill="accent1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D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C0DE" w:themeFill="accent1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3">
    <w:name w:val="Colorful Shading Accent 2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C0504D" w:themeColor="accent2" w:sz="2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C0504D" w:themeColor="accent2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4">
    <w:name w:val="Colorful Shading Accent 3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8064A2" w:themeColor="accent4" w:sz="2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8064A2" w:themeColor="accent4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15">
    <w:name w:val="Colorful Shading Accent 4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9BBB59" w:themeColor="accent3" w:sz="2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9BBB59" w:themeColor="accent3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4C3A62" w:themeFill="accent4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A62" w:themeFill="accent4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A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6">
    <w:name w:val="Colorful Shading Accent 5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F79646" w:themeColor="accent6" w:sz="2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F79646" w:themeColor="accent6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7">
    <w:name w:val="Colorful Shading Accent 6"/>
    <w:basedOn w:val="32"/>
    <w:qFormat/>
    <w:uiPriority w:val="71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top w:val="single" w:color="4BACC6" w:themeColor="accent5" w:sz="2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FFFFF" w:themeColor="background1" w:sz="4" w:space="0"/>
        <w:insideV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color="4BACC6" w:themeColor="accent5" w:sz="24" w:space="0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single" w:color="FFFFFF" w:themeColor="background1" w:sz="6" w:space="0"/>
        </w:tcBorders>
        <w:shd w:val="clear" w:color="auto" w:fill="B65607" w:themeFill="accent6" w:themeFillShade="99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7" w:themeFill="accent6" w:themeFillShade="99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7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  <w14:textFill>
          <w14:solidFill>
            <w14:schemeClr w14:val="tx1"/>
          </w14:solidFill>
        </w14:textFill>
      </w:rPr>
    </w:tblStylePr>
    <w:tblStylePr w:type="nwCell">
      <w:rPr>
        <w:color w:val="000000" w:themeColor="text1"/>
        <w14:textFill>
          <w14:solidFill>
            <w14:schemeClr w14:val="tx1"/>
          </w14:solidFill>
        </w14:textFill>
      </w:rPr>
    </w:tblStylePr>
  </w:style>
  <w:style w:type="table" w:styleId="118">
    <w:name w:val="Colorful List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E5E5" w:themeFill="tex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9">
    <w:name w:val="Colorful List Accent 1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120">
    <w:name w:val="Colorful List Accent 2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9E3A38" w:themeFill="accent2" w:themeFillShade="CC"/>
      </w:tcPr>
    </w:tblStylePr>
    <w:tblStylePr w:type="lastRow">
      <w:rPr>
        <w:b/>
        <w:bCs/>
        <w:color w:val="9F3B38" w:themeColor="accent2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3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121">
    <w:name w:val="Colorful List Accent 3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664E82" w:themeFill="accent4" w:themeFillShade="CC"/>
      </w:tcPr>
    </w:tblStylePr>
    <w:tblStylePr w:type="lastRow">
      <w:rPr>
        <w:b/>
        <w:bCs/>
        <w:color w:val="664F83" w:themeColor="accent4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122">
    <w:name w:val="Colorful List Accent 4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5" w:themeFill="accent4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7E9C40" w:themeFill="accent3" w:themeFillShade="CC"/>
      </w:tcPr>
    </w:tblStylePr>
    <w:tblStylePr w:type="lastRow">
      <w:rPr>
        <w:b/>
        <w:bCs/>
        <w:color w:val="7E9D40" w:themeColor="accent3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123">
    <w:name w:val="Colorful List Accent 5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F3730A" w:themeFill="accent6" w:themeFillShade="CC"/>
      </w:tcPr>
    </w:tblStylePr>
    <w:tblStylePr w:type="lastRow">
      <w:rPr>
        <w:b/>
        <w:bCs/>
        <w:color w:val="F3740B" w:themeColor="accent6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0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124">
    <w:name w:val="Colorful List Accent 6"/>
    <w:basedOn w:val="32"/>
    <w:qFormat/>
    <w:uiPriority w:val="72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blPr/>
      <w:tcPr>
        <w:tcBorders>
          <w:bottom w:val="single" w:color="FFFFFF" w:themeColor="background1" w:sz="12" w:space="0"/>
        </w:tcBorders>
        <w:shd w:val="clear" w:color="auto" w:fill="348DA5" w:themeFill="accent5" w:themeFillShade="CC"/>
      </w:tcPr>
    </w:tblStylePr>
    <w:tblStylePr w:type="lastRow">
      <w:rPr>
        <w:b/>
        <w:bCs/>
        <w:color w:val="358EA6" w:themeColor="accent5" w:themeShade="CC"/>
      </w:rPr>
      <w:tblPr/>
      <w:tcPr>
        <w:tcBorders>
          <w:top w:val="single" w:color="000000" w:themeColor="text1" w:sz="12" w:space="0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25">
    <w:name w:val="Colorful Grid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7F7F7F" w:themeFill="text1" w:themeFillTint="7F"/>
      </w:tcPr>
    </w:tblStylePr>
    <w:tblStylePr w:type="band1Horz">
      <w:tblPr/>
      <w:tcPr>
        <w:shd w:val="clear" w:color="auto" w:fill="7F7F7F" w:themeFill="text1" w:themeFillTint="7F"/>
      </w:tcPr>
    </w:tblStylePr>
  </w:style>
  <w:style w:type="table" w:styleId="126">
    <w:name w:val="Colorful Grid Accent 1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66091" w:themeFill="accent1" w:themeFillShade="BF"/>
      </w:tcPr>
    </w:tblStylePr>
    <w:tblStylePr w:type="band1Vert">
      <w:tblPr/>
      <w:tcPr>
        <w:shd w:val="clear" w:color="auto" w:fill="A7C0DE" w:themeFill="accent1" w:themeFillTint="7F"/>
      </w:tcPr>
    </w:tblStylePr>
    <w:tblStylePr w:type="band1Horz">
      <w:tblPr/>
      <w:tcPr>
        <w:shd w:val="clear" w:color="auto" w:fill="A7C0DE" w:themeFill="accent1" w:themeFillTint="7F"/>
      </w:tcPr>
    </w:tblStylePr>
  </w:style>
  <w:style w:type="table" w:styleId="127">
    <w:name w:val="Colorful Grid Accent 2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9437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28">
    <w:name w:val="Colorful Grid Accent 3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29">
    <w:name w:val="Colorful Grid Accent 4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30">
    <w:name w:val="Colorful Grid Accent 5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31">
    <w:name w:val="Colorful Grid Accent 6"/>
    <w:basedOn w:val="32"/>
    <w:qFormat/>
    <w:uiPriority w:val="73"/>
    <w:pPr>
      <w:spacing w:after="0" w:line="240" w:lineRule="auto"/>
    </w:pPr>
    <w:rPr>
      <w:color w:val="000000" w:themeColor="text1"/>
      <w14:textFill>
        <w14:solidFill>
          <w14:schemeClr w14:val="tx1"/>
        </w14:solidFill>
      </w14:textFill>
    </w:rPr>
    <w:tblPr>
      <w:tblBorders>
        <w:insideH w:val="single" w:color="FFFFFF" w:themeColor="background1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  <w14:textFill>
          <w14:solidFill>
            <w14:schemeClr w14:val="tx1"/>
          </w14:solidFill>
        </w14:textFill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lastCol">
      <w:rPr>
        <w:color w:val="FFFFFF" w:themeColor="background1"/>
        <w14:textFill>
          <w14:solidFill>
            <w14:schemeClr w14:val="bg1"/>
          </w14:solidFill>
        </w14:textFill>
      </w:rPr>
      <w:tblPr/>
      <w:tcPr>
        <w:shd w:val="clear" w:color="auto" w:fill="E36C09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133">
    <w:name w:val="Strong"/>
    <w:basedOn w:val="132"/>
    <w:qFormat/>
    <w:uiPriority w:val="22"/>
    <w:rPr>
      <w:b/>
      <w:bCs/>
    </w:rPr>
  </w:style>
  <w:style w:type="character" w:styleId="134">
    <w:name w:val="Emphasis"/>
    <w:basedOn w:val="132"/>
    <w:qFormat/>
    <w:uiPriority w:val="20"/>
    <w:rPr>
      <w:i/>
      <w:iCs/>
    </w:rPr>
  </w:style>
  <w:style w:type="character" w:customStyle="1" w:styleId="135">
    <w:name w:val="Header Char"/>
    <w:basedOn w:val="132"/>
    <w:link w:val="25"/>
    <w:qFormat/>
    <w:uiPriority w:val="99"/>
  </w:style>
  <w:style w:type="character" w:customStyle="1" w:styleId="136">
    <w:name w:val="Footer Char"/>
    <w:basedOn w:val="132"/>
    <w:link w:val="24"/>
    <w:qFormat/>
    <w:uiPriority w:val="99"/>
  </w:style>
  <w:style w:type="paragraph" w:styleId="137">
    <w:name w:val="No Spacing"/>
    <w:qFormat/>
    <w:uiPriority w:val="1"/>
    <w:pPr>
      <w:spacing w:after="0" w:line="240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customStyle="1" w:styleId="138">
    <w:name w:val="Heading 1 Char"/>
    <w:basedOn w:val="132"/>
    <w:link w:val="3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customStyle="1" w:styleId="139">
    <w:name w:val="Heading 2 Char"/>
    <w:basedOn w:val="132"/>
    <w:link w:val="4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14:textFill>
        <w14:solidFill>
          <w14:schemeClr w14:val="accent1"/>
        </w14:solidFill>
      </w14:textFill>
    </w:rPr>
  </w:style>
  <w:style w:type="character" w:customStyle="1" w:styleId="140">
    <w:name w:val="Heading 3 Char"/>
    <w:basedOn w:val="132"/>
    <w:link w:val="5"/>
    <w:qFormat/>
    <w:uiPriority w:val="9"/>
    <w:rPr>
      <w:rFonts w:asciiTheme="majorHAnsi" w:hAnsiTheme="majorHAnsi" w:eastAsiaTheme="majorEastAsia" w:cstheme="majorBidi"/>
      <w:b/>
      <w:b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41">
    <w:name w:val="Title Char"/>
    <w:basedOn w:val="132"/>
    <w:link w:val="31"/>
    <w:qFormat/>
    <w:uiPriority w:val="10"/>
    <w:rPr>
      <w:rFonts w:asciiTheme="majorHAnsi" w:hAnsiTheme="majorHAnsi" w:eastAsiaTheme="majorEastAsia" w:cstheme="majorBidi"/>
      <w:color w:val="17375E" w:themeColor="text2" w:themeShade="BF"/>
      <w:spacing w:val="5"/>
      <w:kern w:val="28"/>
      <w:sz w:val="52"/>
      <w:szCs w:val="52"/>
    </w:rPr>
  </w:style>
  <w:style w:type="character" w:customStyle="1" w:styleId="142">
    <w:name w:val="Subtitle Char"/>
    <w:basedOn w:val="132"/>
    <w:link w:val="26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14:textFill>
        <w14:solidFill>
          <w14:schemeClr w14:val="accent1"/>
        </w14:solidFill>
      </w14:textFill>
    </w:rPr>
  </w:style>
  <w:style w:type="paragraph" w:styleId="143">
    <w:name w:val="List Paragraph"/>
    <w:basedOn w:val="1"/>
    <w:qFormat/>
    <w:uiPriority w:val="34"/>
    <w:pPr>
      <w:ind w:left="720"/>
      <w:contextualSpacing/>
    </w:pPr>
  </w:style>
  <w:style w:type="character" w:customStyle="1" w:styleId="144">
    <w:name w:val="Body Text Char"/>
    <w:basedOn w:val="132"/>
    <w:link w:val="19"/>
    <w:qFormat/>
    <w:uiPriority w:val="99"/>
  </w:style>
  <w:style w:type="character" w:customStyle="1" w:styleId="145">
    <w:name w:val="Body Text 2 Char"/>
    <w:basedOn w:val="132"/>
    <w:link w:val="28"/>
    <w:uiPriority w:val="99"/>
  </w:style>
  <w:style w:type="character" w:customStyle="1" w:styleId="146">
    <w:name w:val="Body Text 3 Char"/>
    <w:basedOn w:val="132"/>
    <w:link w:val="17"/>
    <w:qFormat/>
    <w:uiPriority w:val="99"/>
    <w:rPr>
      <w:sz w:val="16"/>
      <w:szCs w:val="16"/>
    </w:rPr>
  </w:style>
  <w:style w:type="character" w:customStyle="1" w:styleId="147">
    <w:name w:val="Macro Text Char"/>
    <w:basedOn w:val="132"/>
    <w:link w:val="2"/>
    <w:qFormat/>
    <w:uiPriority w:val="99"/>
    <w:rPr>
      <w:rFonts w:ascii="Courier" w:hAnsi="Courier"/>
      <w:sz w:val="20"/>
      <w:szCs w:val="20"/>
    </w:rPr>
  </w:style>
  <w:style w:type="paragraph" w:styleId="148">
    <w:name w:val="Quote"/>
    <w:basedOn w:val="1"/>
    <w:next w:val="1"/>
    <w:link w:val="149"/>
    <w:qFormat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49">
    <w:name w:val="Quote Char"/>
    <w:basedOn w:val="132"/>
    <w:link w:val="148"/>
    <w:uiPriority w:val="29"/>
    <w:rPr>
      <w:i/>
      <w:iCs/>
      <w:color w:val="000000" w:themeColor="text1"/>
      <w14:textFill>
        <w14:solidFill>
          <w14:schemeClr w14:val="tx1"/>
        </w14:solidFill>
      </w14:textFill>
    </w:rPr>
  </w:style>
  <w:style w:type="character" w:customStyle="1" w:styleId="150">
    <w:name w:val="Heading 4 Char"/>
    <w:basedOn w:val="132"/>
    <w:link w:val="6"/>
    <w:semiHidden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1">
    <w:name w:val="Heading 5 Char"/>
    <w:basedOn w:val="132"/>
    <w:link w:val="7"/>
    <w:semiHidden/>
    <w:uiPriority w:val="9"/>
    <w:rPr>
      <w:rFonts w:asciiTheme="majorHAnsi" w:hAnsiTheme="majorHAnsi" w:eastAsiaTheme="majorEastAsia" w:cstheme="majorBidi"/>
      <w:color w:val="254061" w:themeColor="accent1" w:themeShade="80"/>
    </w:rPr>
  </w:style>
  <w:style w:type="character" w:customStyle="1" w:styleId="152">
    <w:name w:val="Heading 6 Char"/>
    <w:basedOn w:val="132"/>
    <w:link w:val="8"/>
    <w:semiHidden/>
    <w:qFormat/>
    <w:uiPriority w:val="9"/>
    <w:rPr>
      <w:rFonts w:asciiTheme="majorHAnsi" w:hAnsiTheme="majorHAnsi" w:eastAsiaTheme="majorEastAsia" w:cstheme="majorBidi"/>
      <w:i/>
      <w:iCs/>
      <w:color w:val="254061" w:themeColor="accent1" w:themeShade="80"/>
    </w:rPr>
  </w:style>
  <w:style w:type="character" w:customStyle="1" w:styleId="153">
    <w:name w:val="Heading 7 Char"/>
    <w:basedOn w:val="132"/>
    <w:link w:val="9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54">
    <w:name w:val="Heading 8 Char"/>
    <w:basedOn w:val="132"/>
    <w:link w:val="10"/>
    <w:semiHidden/>
    <w:uiPriority w:val="9"/>
    <w:rPr>
      <w:rFonts w:asciiTheme="majorHAnsi" w:hAnsiTheme="majorHAnsi" w:eastAsiaTheme="majorEastAsia" w:cstheme="majorBidi"/>
      <w:color w:val="4F81BD" w:themeColor="accent1"/>
      <w:sz w:val="20"/>
      <w:szCs w:val="20"/>
      <w14:textFill>
        <w14:solidFill>
          <w14:schemeClr w14:val="accent1"/>
        </w14:solidFill>
      </w14:textFill>
    </w:rPr>
  </w:style>
  <w:style w:type="character" w:customStyle="1" w:styleId="155">
    <w:name w:val="Heading 9 Char"/>
    <w:basedOn w:val="132"/>
    <w:link w:val="11"/>
    <w:semiHidden/>
    <w:uiPriority w:val="9"/>
    <w:rPr>
      <w:rFonts w:asciiTheme="majorHAnsi" w:hAnsiTheme="majorHAnsi" w:eastAsiaTheme="majorEastAsia" w:cstheme="majorBidi"/>
      <w:i/>
      <w:iCs/>
      <w:color w:val="404040" w:themeColor="text1" w:themeTint="BF"/>
      <w:sz w:val="20"/>
      <w:szCs w:val="20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156">
    <w:name w:val="Intense Quote"/>
    <w:basedOn w:val="1"/>
    <w:next w:val="1"/>
    <w:link w:val="157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7">
    <w:name w:val="Intense Quote Char"/>
    <w:basedOn w:val="132"/>
    <w:link w:val="156"/>
    <w:uiPriority w:val="30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58">
    <w:name w:val="Subtle Emphasis"/>
    <w:basedOn w:val="132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159">
    <w:name w:val="Intense Emphasis"/>
    <w:basedOn w:val="132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160">
    <w:name w:val="Subtle Reference"/>
    <w:basedOn w:val="132"/>
    <w:qFormat/>
    <w:uiPriority w:val="31"/>
    <w:rPr>
      <w:smallCaps/>
      <w:color w:val="C0504D" w:themeColor="accent2"/>
      <w:u w:val="single"/>
      <w14:textFill>
        <w14:solidFill>
          <w14:schemeClr w14:val="accent2"/>
        </w14:solidFill>
      </w14:textFill>
    </w:rPr>
  </w:style>
  <w:style w:type="character" w:customStyle="1" w:styleId="161">
    <w:name w:val="Intense Reference"/>
    <w:basedOn w:val="132"/>
    <w:qFormat/>
    <w:uiPriority w:val="32"/>
    <w:rPr>
      <w:b/>
      <w:bCs/>
      <w:smallCaps/>
      <w:color w:val="C0504D" w:themeColor="accent2"/>
      <w:spacing w:val="5"/>
      <w:u w:val="single"/>
      <w14:textFill>
        <w14:solidFill>
          <w14:schemeClr w14:val="accent2"/>
        </w14:solidFill>
      </w14:textFill>
    </w:rPr>
  </w:style>
  <w:style w:type="character" w:customStyle="1" w:styleId="162">
    <w:name w:val="Book Title"/>
    <w:basedOn w:val="132"/>
    <w:qFormat/>
    <w:uiPriority w:val="33"/>
    <w:rPr>
      <w:b/>
      <w:bCs/>
      <w:smallCaps/>
      <w:spacing w:val="5"/>
    </w:rPr>
  </w:style>
  <w:style w:type="paragraph" w:customStyle="1" w:styleId="163">
    <w:name w:val="TOC Heading"/>
    <w:basedOn w:val="3"/>
    <w:next w:val="1"/>
    <w:semiHidden/>
    <w:unhideWhenUsed/>
    <w:qFormat/>
    <w:uiPriority w:val="39"/>
    <w:pPr>
      <w:outlineLvl w:val="9"/>
    </w:pPr>
  </w:style>
  <w:style w:type="paragraph" w:customStyle="1" w:styleId="164">
    <w:name w:val="Figure Caption"/>
    <w:qFormat/>
    <w:uiPriority w:val="0"/>
    <w:pPr>
      <w:spacing w:after="140" w:line="276" w:lineRule="auto"/>
      <w:jc w:val="center"/>
    </w:pPr>
    <w:rPr>
      <w:rFonts w:ascii="Arial" w:hAnsi="Arial" w:eastAsiaTheme="minorEastAsia" w:cstheme="minorBidi"/>
      <w:i/>
      <w:color w:val="60646F"/>
      <w:sz w:val="16"/>
      <w:szCs w:val="22"/>
      <w:lang w:val="en-US" w:eastAsia="en-US" w:bidi="ar-SA"/>
    </w:rPr>
  </w:style>
  <w:style w:type="paragraph" w:customStyle="1" w:styleId="165">
    <w:name w:val="Small Text"/>
    <w:qFormat/>
    <w:uiPriority w:val="0"/>
    <w:pPr>
      <w:spacing w:after="60" w:line="276" w:lineRule="auto"/>
    </w:pPr>
    <w:rPr>
      <w:rFonts w:ascii="Arial" w:hAnsi="Arial" w:eastAsiaTheme="minorEastAsia" w:cstheme="minorBidi"/>
      <w:color w:val="555A64"/>
      <w:sz w:val="16"/>
      <w:szCs w:val="22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numbering" Target="numbering.xml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387</Words>
  <Characters>2107</Characters>
  <Lines>0</Lines>
  <Paragraphs>0</Paragraphs>
  <TotalTime>6</TotalTime>
  <ScaleCrop>false</ScaleCrop>
  <LinksUpToDate>false</LinksUpToDate>
  <CharactersWithSpaces>2388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2013-12-23T23:15:00Z</dcterms:created>
  <dc:creator>python-docx</dc:creator>
  <dc:description>generated by python-docx</dc:description>
  <cp:lastModifiedBy>Axiaoooo</cp:lastModifiedBy>
  <dcterms:modified xsi:type="dcterms:W3CDTF">2026-07-21T07:44:53Z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eyJoZGlkIjoiZTcwNjQyMDBlOWIzYWY2MjkyNGMyNWQyYmU5NjViNDMiLCJ1c2VySWQiOiI2OTY5MTU3MzkifQ==</vt:lpwstr>
  </property>
  <property fmtid="{D5CDD505-2E9C-101B-9397-08002B2CF9AE}" pid="3" name="KSOProductBuildVer">
    <vt:lpwstr>2052-12.1.0.23542</vt:lpwstr>
  </property>
  <property fmtid="{D5CDD505-2E9C-101B-9397-08002B2CF9AE}" pid="4" name="ICV">
    <vt:lpwstr>091E872A371949AE93C11C3BA2F5F1B4_12</vt:lpwstr>
  </property>
</Properties>
</file>